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38A33" w14:textId="4C0FA882" w:rsidR="008560D0" w:rsidRDefault="00000000">
      <w:pPr>
        <w:tabs>
          <w:tab w:val="left" w:pos="1701"/>
          <w:tab w:val="right" w:pos="9639"/>
        </w:tabs>
        <w:spacing w:before="120"/>
        <w:rPr>
          <w:rFonts w:ascii="Arial" w:hAnsi="Arial" w:cs="Arial" w:hint="eastAsia"/>
          <w:b/>
          <w:kern w:val="0"/>
        </w:rPr>
      </w:pPr>
      <w:r>
        <w:rPr>
          <w:rFonts w:ascii="Arial" w:eastAsia="MS Mincho" w:hAnsi="Arial" w:cs="Arial"/>
          <w:b/>
          <w:kern w:val="0"/>
        </w:rPr>
        <w:t>3GPP TSG-RAN WG2 Meeting #1</w:t>
      </w:r>
      <w:r>
        <w:rPr>
          <w:rFonts w:ascii="Arial" w:eastAsia="宋体" w:hAnsi="Arial" w:cs="Arial" w:hint="eastAsia"/>
          <w:b/>
          <w:kern w:val="0"/>
        </w:rPr>
        <w:t>31</w:t>
      </w:r>
      <w:r>
        <w:rPr>
          <w:rFonts w:ascii="Arial" w:eastAsia="MS Mincho" w:hAnsi="Arial" w:cs="Arial"/>
          <w:b/>
          <w:kern w:val="0"/>
        </w:rPr>
        <w:tab/>
        <w:t>R2-2</w:t>
      </w:r>
      <w:r>
        <w:rPr>
          <w:rFonts w:ascii="Arial" w:hAnsi="Arial" w:cs="Arial" w:hint="eastAsia"/>
          <w:b/>
          <w:kern w:val="0"/>
        </w:rPr>
        <w:t>50</w:t>
      </w:r>
      <w:r w:rsidR="009A5042">
        <w:rPr>
          <w:rFonts w:ascii="Arial" w:hAnsi="Arial" w:cs="Arial" w:hint="eastAsia"/>
          <w:b/>
          <w:kern w:val="0"/>
        </w:rPr>
        <w:t>6015</w:t>
      </w:r>
    </w:p>
    <w:p w14:paraId="54C9BBA4" w14:textId="77777777" w:rsidR="008560D0" w:rsidRDefault="00000000">
      <w:pPr>
        <w:tabs>
          <w:tab w:val="left" w:pos="1701"/>
          <w:tab w:val="right" w:pos="9923"/>
        </w:tabs>
        <w:spacing w:before="120"/>
        <w:rPr>
          <w:rFonts w:ascii="Arial" w:hAnsi="Arial" w:cs="Arial"/>
          <w:b/>
          <w:kern w:val="0"/>
        </w:rPr>
      </w:pPr>
      <w:r>
        <w:rPr>
          <w:rFonts w:ascii="Arial" w:eastAsia="宋体" w:hAnsi="Arial" w:cs="Arial"/>
          <w:b/>
          <w:kern w:val="0"/>
        </w:rPr>
        <w:t>Bengaluru</w:t>
      </w:r>
      <w:r>
        <w:rPr>
          <w:rFonts w:ascii="Arial" w:eastAsia="MS Mincho" w:hAnsi="Arial" w:cs="Arial"/>
          <w:b/>
          <w:kern w:val="0"/>
        </w:rPr>
        <w:t xml:space="preserve">, </w:t>
      </w:r>
      <w:r>
        <w:rPr>
          <w:rFonts w:ascii="Arial" w:eastAsia="宋体" w:hAnsi="Arial" w:cs="Arial" w:hint="eastAsia"/>
          <w:b/>
          <w:kern w:val="0"/>
        </w:rPr>
        <w:t>India</w:t>
      </w:r>
      <w:r>
        <w:rPr>
          <w:rFonts w:ascii="Arial" w:eastAsia="MS Mincho" w:hAnsi="Arial" w:cs="Arial"/>
          <w:b/>
          <w:kern w:val="0"/>
        </w:rPr>
        <w:t xml:space="preserve">, </w:t>
      </w:r>
      <w:r>
        <w:rPr>
          <w:rFonts w:ascii="Arial" w:eastAsia="宋体" w:hAnsi="Arial" w:cs="Arial" w:hint="eastAsia"/>
          <w:b/>
          <w:kern w:val="0"/>
        </w:rPr>
        <w:t>August, 25</w:t>
      </w:r>
      <w:r>
        <w:rPr>
          <w:rFonts w:ascii="Arial" w:eastAsia="MS Mincho" w:hAnsi="Arial" w:cs="Arial"/>
          <w:b/>
          <w:kern w:val="0"/>
          <w:vertAlign w:val="superscript"/>
        </w:rPr>
        <w:t>th</w:t>
      </w:r>
      <w:r>
        <w:rPr>
          <w:rFonts w:ascii="Arial" w:eastAsia="MS Mincho" w:hAnsi="Arial" w:cs="Arial"/>
          <w:b/>
          <w:kern w:val="0"/>
        </w:rPr>
        <w:t>-</w:t>
      </w:r>
      <w:r>
        <w:rPr>
          <w:rFonts w:ascii="Arial" w:eastAsia="宋体" w:hAnsi="Arial" w:cs="Arial" w:hint="eastAsia"/>
          <w:b/>
          <w:kern w:val="0"/>
        </w:rPr>
        <w:t>29</w:t>
      </w:r>
      <w:r>
        <w:rPr>
          <w:rFonts w:ascii="Arial" w:eastAsia="宋体" w:hAnsi="Arial" w:cs="Arial" w:hint="eastAsia"/>
          <w:b/>
          <w:kern w:val="0"/>
          <w:vertAlign w:val="superscript"/>
        </w:rPr>
        <w:t>rd</w:t>
      </w:r>
      <w:r>
        <w:rPr>
          <w:rFonts w:ascii="Arial" w:eastAsia="MS Mincho" w:hAnsi="Arial" w:cs="Arial"/>
          <w:b/>
          <w:kern w:val="0"/>
        </w:rPr>
        <w:t>, 202</w:t>
      </w:r>
      <w:r>
        <w:rPr>
          <w:rFonts w:ascii="Arial" w:hAnsi="Arial" w:cs="Arial"/>
          <w:b/>
          <w:kern w:val="0"/>
        </w:rPr>
        <w:t>5</w:t>
      </w:r>
    </w:p>
    <w:p w14:paraId="5A3058D2" w14:textId="77777777" w:rsidR="008560D0" w:rsidRDefault="00000000">
      <w:pPr>
        <w:pStyle w:val="aff9"/>
        <w:widowControl/>
        <w:tabs>
          <w:tab w:val="left" w:pos="5672"/>
        </w:tabs>
        <w:overflowPunct/>
        <w:autoSpaceDE/>
        <w:autoSpaceDN/>
        <w:adjustRightInd/>
        <w:spacing w:before="180"/>
        <w:jc w:val="both"/>
        <w:textAlignment w:val="auto"/>
        <w:rPr>
          <w:rFonts w:eastAsia="MS Mincho"/>
          <w:sz w:val="22"/>
          <w:szCs w:val="22"/>
          <w:lang w:val="en-US" w:eastAsia="en-US"/>
        </w:rPr>
      </w:pPr>
      <w:r>
        <w:rPr>
          <w:rFonts w:eastAsia="MS Mincho"/>
          <w:sz w:val="22"/>
          <w:szCs w:val="22"/>
          <w:lang w:val="en-US" w:eastAsia="en-US"/>
        </w:rPr>
        <w:tab/>
      </w:r>
    </w:p>
    <w:p w14:paraId="0BCC4CC1" w14:textId="77777777" w:rsidR="008560D0" w:rsidRDefault="00000000">
      <w:pPr>
        <w:pStyle w:val="aff9"/>
        <w:widowControl/>
        <w:tabs>
          <w:tab w:val="left" w:pos="2268"/>
        </w:tabs>
        <w:overflowPunct/>
        <w:autoSpaceDE/>
        <w:autoSpaceDN/>
        <w:adjustRightInd/>
        <w:spacing w:after="90"/>
        <w:jc w:val="both"/>
        <w:textAlignment w:val="auto"/>
        <w:rPr>
          <w:sz w:val="22"/>
          <w:szCs w:val="22"/>
          <w:lang w:eastAsia="zh-CN"/>
        </w:rPr>
      </w:pPr>
      <w:r>
        <w:rPr>
          <w:rFonts w:eastAsia="MS Mincho" w:hint="eastAsia"/>
          <w:sz w:val="22"/>
          <w:szCs w:val="22"/>
          <w:lang w:eastAsia="en-US"/>
        </w:rPr>
        <w:t>Agenda Item:</w:t>
      </w:r>
      <w:r>
        <w:rPr>
          <w:rFonts w:hint="eastAsia"/>
          <w:sz w:val="22"/>
          <w:szCs w:val="22"/>
          <w:lang w:eastAsia="zh-CN"/>
        </w:rPr>
        <w:tab/>
      </w:r>
      <w:r>
        <w:rPr>
          <w:rFonts w:hint="eastAsia"/>
          <w:sz w:val="22"/>
          <w:szCs w:val="22"/>
          <w:lang w:val="en-US" w:eastAsia="zh-CN"/>
        </w:rPr>
        <w:t>8</w:t>
      </w:r>
      <w:r>
        <w:rPr>
          <w:rFonts w:hint="eastAsia"/>
          <w:sz w:val="22"/>
          <w:szCs w:val="22"/>
          <w:lang w:eastAsia="zh-CN"/>
        </w:rPr>
        <w:t>.</w:t>
      </w:r>
      <w:r>
        <w:rPr>
          <w:rFonts w:hint="eastAsia"/>
          <w:sz w:val="22"/>
          <w:szCs w:val="22"/>
          <w:lang w:val="en-US" w:eastAsia="zh-CN"/>
        </w:rPr>
        <w:t>19.1</w:t>
      </w:r>
    </w:p>
    <w:p w14:paraId="37A94122" w14:textId="1A326D38" w:rsidR="008560D0" w:rsidRDefault="00000000">
      <w:pPr>
        <w:pStyle w:val="aff9"/>
        <w:widowControl/>
        <w:tabs>
          <w:tab w:val="left" w:pos="2268"/>
          <w:tab w:val="center" w:pos="4536"/>
          <w:tab w:val="right" w:pos="9072"/>
        </w:tabs>
        <w:overflowPunct/>
        <w:autoSpaceDE/>
        <w:autoSpaceDN/>
        <w:adjustRightInd/>
        <w:spacing w:after="90"/>
        <w:jc w:val="both"/>
        <w:textAlignment w:val="auto"/>
        <w:rPr>
          <w:sz w:val="22"/>
          <w:szCs w:val="22"/>
          <w:lang w:val="en-US" w:eastAsia="zh-CN"/>
        </w:rPr>
      </w:pPr>
      <w:r>
        <w:rPr>
          <w:rFonts w:eastAsia="MS Mincho"/>
          <w:sz w:val="22"/>
          <w:szCs w:val="22"/>
          <w:lang w:eastAsia="en-US"/>
        </w:rPr>
        <w:t>Source:</w:t>
      </w:r>
      <w:r>
        <w:rPr>
          <w:rFonts w:hint="eastAsia"/>
          <w:sz w:val="22"/>
          <w:szCs w:val="22"/>
          <w:lang w:eastAsia="zh-CN"/>
        </w:rPr>
        <w:t xml:space="preserve"> </w:t>
      </w:r>
      <w:r>
        <w:rPr>
          <w:rFonts w:hint="eastAsia"/>
          <w:sz w:val="22"/>
          <w:szCs w:val="22"/>
          <w:lang w:eastAsia="zh-CN"/>
        </w:rPr>
        <w:tab/>
      </w:r>
      <w:r>
        <w:rPr>
          <w:rFonts w:eastAsia="MS Mincho" w:hint="eastAsia"/>
          <w:sz w:val="22"/>
          <w:szCs w:val="22"/>
          <w:lang w:eastAsia="en-US"/>
        </w:rPr>
        <w:t>C</w:t>
      </w:r>
      <w:r>
        <w:rPr>
          <w:rFonts w:eastAsia="宋体" w:hint="eastAsia"/>
          <w:sz w:val="22"/>
          <w:szCs w:val="22"/>
          <w:lang w:val="en-US" w:eastAsia="zh-CN"/>
        </w:rPr>
        <w:t xml:space="preserve">SCN, </w:t>
      </w:r>
      <w:r w:rsidR="00233FE1" w:rsidRPr="00233FE1">
        <w:rPr>
          <w:rFonts w:eastAsia="宋体"/>
          <w:sz w:val="22"/>
          <w:szCs w:val="22"/>
          <w:lang w:val="en-US" w:eastAsia="zh-CN"/>
        </w:rPr>
        <w:t>ZTE Corporation, Sanechips</w:t>
      </w:r>
      <w:r w:rsidR="00233FE1">
        <w:rPr>
          <w:rFonts w:eastAsia="宋体" w:hint="eastAsia"/>
          <w:sz w:val="22"/>
          <w:szCs w:val="22"/>
          <w:lang w:val="en-US" w:eastAsia="zh-CN"/>
        </w:rPr>
        <w:t>,</w:t>
      </w:r>
      <w:r w:rsidR="00233FE1" w:rsidRPr="00233FE1">
        <w:rPr>
          <w:rFonts w:eastAsia="宋体"/>
          <w:sz w:val="22"/>
          <w:szCs w:val="22"/>
          <w:lang w:val="en-US" w:eastAsia="zh-CN"/>
        </w:rPr>
        <w:t xml:space="preserve"> </w:t>
      </w:r>
      <w:r w:rsidR="00C24329" w:rsidRPr="00C24329">
        <w:rPr>
          <w:rFonts w:eastAsia="宋体"/>
          <w:sz w:val="22"/>
          <w:szCs w:val="22"/>
          <w:lang w:val="en-US" w:eastAsia="zh-CN"/>
        </w:rPr>
        <w:t>Huawei, HiSilicon</w:t>
      </w:r>
      <w:r w:rsidR="00C24329">
        <w:rPr>
          <w:rFonts w:eastAsia="宋体" w:hint="eastAsia"/>
          <w:sz w:val="22"/>
          <w:szCs w:val="22"/>
          <w:lang w:val="en-US" w:eastAsia="zh-CN"/>
        </w:rPr>
        <w:t>, CATT</w:t>
      </w:r>
    </w:p>
    <w:p w14:paraId="43B66D57" w14:textId="77777777" w:rsidR="008560D0" w:rsidRDefault="00000000">
      <w:pPr>
        <w:pStyle w:val="aff9"/>
        <w:widowControl/>
        <w:tabs>
          <w:tab w:val="left" w:pos="2268"/>
          <w:tab w:val="center" w:pos="4536"/>
          <w:tab w:val="right" w:pos="9072"/>
        </w:tabs>
        <w:overflowPunct/>
        <w:autoSpaceDE/>
        <w:autoSpaceDN/>
        <w:adjustRightInd/>
        <w:spacing w:after="90"/>
        <w:ind w:left="2268" w:hanging="2268"/>
        <w:jc w:val="both"/>
        <w:textAlignment w:val="auto"/>
        <w:rPr>
          <w:sz w:val="22"/>
          <w:szCs w:val="22"/>
          <w:lang w:val="en-US" w:eastAsia="zh-CN"/>
        </w:rPr>
      </w:pPr>
      <w:r>
        <w:rPr>
          <w:rFonts w:eastAsia="MS Mincho"/>
          <w:sz w:val="22"/>
          <w:szCs w:val="22"/>
          <w:lang w:eastAsia="en-US"/>
        </w:rPr>
        <w:t>Title:</w:t>
      </w:r>
      <w:r>
        <w:rPr>
          <w:rFonts w:hint="eastAsia"/>
          <w:sz w:val="22"/>
          <w:szCs w:val="22"/>
          <w:lang w:eastAsia="zh-CN"/>
        </w:rPr>
        <w:t xml:space="preserve"> </w:t>
      </w:r>
      <w:r>
        <w:rPr>
          <w:rFonts w:hint="eastAsia"/>
          <w:sz w:val="22"/>
          <w:szCs w:val="22"/>
          <w:lang w:eastAsia="zh-CN"/>
        </w:rPr>
        <w:tab/>
      </w:r>
      <w:r>
        <w:rPr>
          <w:rFonts w:hint="eastAsia"/>
          <w:sz w:val="22"/>
          <w:szCs w:val="22"/>
          <w:lang w:val="en-US" w:eastAsia="zh-CN"/>
        </w:rPr>
        <w:tab/>
        <w:t xml:space="preserve">Discussion on measurement events for </w:t>
      </w:r>
      <w:bookmarkStart w:id="0" w:name="OLE_LINK34"/>
      <w:r>
        <w:rPr>
          <w:rFonts w:hint="eastAsia"/>
          <w:sz w:val="22"/>
          <w:szCs w:val="22"/>
          <w:lang w:val="en-US" w:eastAsia="zh-CN"/>
        </w:rPr>
        <w:t xml:space="preserve">inter-frequency </w:t>
      </w:r>
      <w:r>
        <w:rPr>
          <w:sz w:val="22"/>
          <w:szCs w:val="22"/>
          <w:lang w:val="en-US" w:eastAsia="zh-CN"/>
        </w:rPr>
        <w:t xml:space="preserve">scenarios </w:t>
      </w:r>
      <w:r>
        <w:rPr>
          <w:rFonts w:hint="eastAsia"/>
          <w:sz w:val="22"/>
          <w:szCs w:val="22"/>
          <w:lang w:val="en-US" w:eastAsia="zh-CN"/>
        </w:rPr>
        <w:t>with overlapping coverage</w:t>
      </w:r>
      <w:bookmarkEnd w:id="0"/>
      <w:r>
        <w:rPr>
          <w:rFonts w:hint="eastAsia"/>
          <w:sz w:val="22"/>
          <w:szCs w:val="22"/>
          <w:lang w:val="en-US" w:eastAsia="zh-CN"/>
        </w:rPr>
        <w:t xml:space="preserve"> in NR NTN</w:t>
      </w:r>
    </w:p>
    <w:p w14:paraId="488D8CA1" w14:textId="0FC06B61" w:rsidR="008560D0" w:rsidRDefault="00000000">
      <w:pPr>
        <w:pStyle w:val="aff9"/>
        <w:widowControl/>
        <w:tabs>
          <w:tab w:val="left" w:pos="2268"/>
          <w:tab w:val="center" w:pos="4536"/>
          <w:tab w:val="right" w:pos="9072"/>
        </w:tabs>
        <w:overflowPunct/>
        <w:autoSpaceDE/>
        <w:autoSpaceDN/>
        <w:adjustRightInd/>
        <w:spacing w:after="90"/>
        <w:jc w:val="both"/>
        <w:textAlignment w:val="auto"/>
        <w:rPr>
          <w:rFonts w:eastAsia="MS Mincho"/>
          <w:sz w:val="22"/>
          <w:szCs w:val="22"/>
          <w:lang w:eastAsia="en-US"/>
        </w:rPr>
      </w:pPr>
      <w:r>
        <w:rPr>
          <w:rFonts w:eastAsia="MS Mincho"/>
          <w:sz w:val="22"/>
          <w:szCs w:val="22"/>
          <w:lang w:eastAsia="en-US"/>
        </w:rPr>
        <w:t>Document for:</w:t>
      </w:r>
      <w:r>
        <w:rPr>
          <w:rFonts w:hint="eastAsia"/>
          <w:sz w:val="22"/>
          <w:szCs w:val="22"/>
          <w:lang w:eastAsia="zh-CN"/>
        </w:rPr>
        <w:t xml:space="preserve"> </w:t>
      </w:r>
      <w:r>
        <w:rPr>
          <w:rFonts w:hint="eastAsia"/>
          <w:sz w:val="22"/>
          <w:szCs w:val="22"/>
          <w:lang w:eastAsia="zh-CN"/>
        </w:rPr>
        <w:tab/>
      </w:r>
      <w:r>
        <w:rPr>
          <w:rFonts w:eastAsia="MS Mincho" w:hint="eastAsia"/>
          <w:sz w:val="22"/>
          <w:szCs w:val="22"/>
          <w:lang w:eastAsia="en-US"/>
        </w:rPr>
        <w:t>Discussion</w:t>
      </w:r>
    </w:p>
    <w:p w14:paraId="7958D726" w14:textId="77777777" w:rsidR="008560D0" w:rsidRDefault="00000000">
      <w:pPr>
        <w:pStyle w:val="1"/>
        <w:spacing w:before="180"/>
        <w:ind w:left="850" w:hangingChars="236" w:hanging="850"/>
        <w:jc w:val="both"/>
      </w:pPr>
      <w:bookmarkStart w:id="1" w:name="_Ref35586532"/>
      <w:r>
        <w:t>Introduction</w:t>
      </w:r>
      <w:bookmarkEnd w:id="1"/>
    </w:p>
    <w:p w14:paraId="6042C4C3" w14:textId="77777777" w:rsidR="008560D0" w:rsidRDefault="00000000">
      <w:pPr>
        <w:tabs>
          <w:tab w:val="center" w:pos="4819"/>
        </w:tabs>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In this TEI19 contribution, we </w:t>
      </w:r>
      <w:r>
        <w:rPr>
          <w:rFonts w:ascii="Times New Roman" w:hAnsi="Times New Roman" w:cs="Times New Roman" w:hint="eastAsia"/>
          <w:kern w:val="0"/>
          <w:sz w:val="20"/>
          <w:szCs w:val="20"/>
        </w:rPr>
        <w:t>propose</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 solution to a p</w:t>
      </w:r>
      <w:r>
        <w:rPr>
          <w:rFonts w:ascii="Times New Roman" w:hAnsi="Times New Roman" w:cs="Times New Roman"/>
          <w:kern w:val="0"/>
          <w:sz w:val="20"/>
          <w:szCs w:val="20"/>
        </w:rPr>
        <w:t>otential measurement issue identified </w:t>
      </w:r>
      <w:r>
        <w:rPr>
          <w:rFonts w:ascii="Times New Roman" w:hAnsi="Times New Roman" w:cs="Times New Roman" w:hint="eastAsia"/>
          <w:kern w:val="0"/>
          <w:sz w:val="20"/>
          <w:szCs w:val="20"/>
        </w:rPr>
        <w:t>in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NR NTN</w:t>
      </w:r>
      <w:r>
        <w:rPr>
          <w:rFonts w:ascii="Times New Roman" w:hAnsi="Times New Roman" w:cs="Times New Roman"/>
          <w:kern w:val="0"/>
          <w:sz w:val="20"/>
          <w:szCs w:val="20"/>
        </w:rPr>
        <w:t xml:space="preserve"> inter-frequency</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scenarios </w:t>
      </w:r>
      <w:r>
        <w:rPr>
          <w:rFonts w:ascii="Times New Roman" w:hAnsi="Times New Roman" w:cs="Times New Roman" w:hint="eastAsia"/>
          <w:kern w:val="0"/>
          <w:sz w:val="20"/>
          <w:szCs w:val="20"/>
        </w:rPr>
        <w:t xml:space="preserve">with </w:t>
      </w:r>
      <w:r>
        <w:rPr>
          <w:rFonts w:ascii="Times New Roman" w:hAnsi="Times New Roman" w:cs="Times New Roman"/>
          <w:kern w:val="0"/>
          <w:sz w:val="20"/>
          <w:szCs w:val="20"/>
        </w:rPr>
        <w:t>overlapping coverage.</w:t>
      </w:r>
    </w:p>
    <w:p w14:paraId="7C8365B2" w14:textId="77777777" w:rsidR="008560D0" w:rsidRDefault="00000000">
      <w:pPr>
        <w:pStyle w:val="1"/>
        <w:spacing w:before="180"/>
        <w:ind w:left="850" w:hangingChars="236" w:hanging="850"/>
        <w:jc w:val="both"/>
        <w:rPr>
          <w:lang w:eastAsia="zh-CN"/>
        </w:rPr>
      </w:pPr>
      <w:r>
        <w:t>Discussion</w:t>
      </w:r>
    </w:p>
    <w:p w14:paraId="57E15D57" w14:textId="77777777" w:rsidR="008560D0" w:rsidRDefault="00000000">
      <w:pPr>
        <w:tabs>
          <w:tab w:val="center" w:pos="4819"/>
        </w:tabs>
        <w:spacing w:after="180"/>
        <w:rPr>
          <w:rFonts w:ascii="Times New Roman" w:hAnsi="Times New Roman" w:cs="Times New Roman"/>
          <w:kern w:val="0"/>
          <w:sz w:val="20"/>
          <w:szCs w:val="20"/>
        </w:rPr>
      </w:pPr>
      <w:bookmarkStart w:id="2" w:name="OLE_LINK4"/>
      <w:r>
        <w:rPr>
          <w:rFonts w:ascii="Times New Roman" w:hAnsi="Times New Roman" w:cs="Times New Roman" w:hint="eastAsia"/>
          <w:kern w:val="0"/>
          <w:sz w:val="20"/>
          <w:szCs w:val="20"/>
        </w:rPr>
        <w:t>Location-based measurement events for NR NTN were introduced in Release 17 and Release 18. D</w:t>
      </w:r>
      <w:r>
        <w:rPr>
          <w:rFonts w:ascii="Times New Roman" w:hAnsi="Times New Roman" w:cs="Times New Roman"/>
          <w:kern w:val="0"/>
          <w:sz w:val="20"/>
          <w:szCs w:val="20"/>
        </w:rPr>
        <w:t>ue to the long distance and</w:t>
      </w:r>
      <w:r>
        <w:rPr>
          <w:rFonts w:ascii="Times New Roman" w:hAnsi="Times New Roman" w:cs="Times New Roman" w:hint="eastAsia"/>
          <w:kern w:val="0"/>
          <w:sz w:val="20"/>
          <w:szCs w:val="20"/>
        </w:rPr>
        <w:t xml:space="preserve"> a</w:t>
      </w:r>
      <w:r>
        <w:rPr>
          <w:rFonts w:ascii="Times New Roman" w:hAnsi="Times New Roman" w:cs="Times New Roman"/>
          <w:kern w:val="0"/>
          <w:sz w:val="20"/>
          <w:szCs w:val="20"/>
        </w:rPr>
        <w:t xml:space="preserve">tmospheric </w:t>
      </w:r>
      <w:r>
        <w:rPr>
          <w:rFonts w:ascii="Times New Roman" w:hAnsi="Times New Roman" w:cs="Times New Roman" w:hint="eastAsia"/>
          <w:kern w:val="0"/>
          <w:sz w:val="20"/>
          <w:szCs w:val="20"/>
        </w:rPr>
        <w:t>a</w:t>
      </w:r>
      <w:r>
        <w:rPr>
          <w:rFonts w:ascii="Times New Roman" w:hAnsi="Times New Roman" w:cs="Times New Roman"/>
          <w:kern w:val="0"/>
          <w:sz w:val="20"/>
          <w:szCs w:val="20"/>
        </w:rPr>
        <w:t xml:space="preserve">ttenuation between satellites and </w:t>
      </w:r>
      <w:r>
        <w:rPr>
          <w:rFonts w:ascii="Times New Roman" w:hAnsi="Times New Roman" w:cs="Times New Roman" w:hint="eastAsia"/>
          <w:kern w:val="0"/>
          <w:sz w:val="20"/>
          <w:szCs w:val="20"/>
        </w:rPr>
        <w:t>UEs,</w:t>
      </w:r>
      <w:r>
        <w:rPr>
          <w:rFonts w:ascii="Times New Roman" w:hAnsi="Times New Roman" w:cs="Times New Roman"/>
          <w:kern w:val="0"/>
          <w:sz w:val="20"/>
          <w:szCs w:val="20"/>
        </w:rPr>
        <w:t xml:space="preserve"> the near-far effect is not significant </w:t>
      </w:r>
      <w:r>
        <w:rPr>
          <w:rFonts w:ascii="Times New Roman" w:hAnsi="Times New Roman" w:cs="Times New Roman" w:hint="eastAsia"/>
          <w:kern w:val="0"/>
          <w:sz w:val="20"/>
          <w:szCs w:val="20"/>
        </w:rPr>
        <w:t>i</w:t>
      </w:r>
      <w:r>
        <w:rPr>
          <w:rFonts w:ascii="Times New Roman" w:hAnsi="Times New Roman" w:cs="Times New Roman"/>
          <w:kern w:val="0"/>
          <w:sz w:val="20"/>
          <w:szCs w:val="20"/>
        </w:rPr>
        <w:t>n NTN</w:t>
      </w:r>
      <w:r>
        <w:rPr>
          <w:rFonts w:ascii="Times New Roman" w:hAnsi="Times New Roman" w:cs="Times New Roman" w:hint="eastAsia"/>
          <w:kern w:val="0"/>
          <w:sz w:val="20"/>
          <w:szCs w:val="20"/>
        </w:rPr>
        <w:t>. Legacy</w:t>
      </w:r>
      <w:r>
        <w:rPr>
          <w:rFonts w:ascii="Times New Roman" w:hAnsi="Times New Roman" w:cs="Times New Roman"/>
          <w:kern w:val="0"/>
          <w:sz w:val="20"/>
          <w:szCs w:val="20"/>
        </w:rPr>
        <w:t xml:space="preserve"> measurement events</w:t>
      </w:r>
      <w:r>
        <w:rPr>
          <w:rFonts w:ascii="Times New Roman" w:hAnsi="Times New Roman" w:cs="Times New Roman" w:hint="eastAsia"/>
          <w:kern w:val="0"/>
          <w:sz w:val="20"/>
          <w:szCs w:val="20"/>
        </w:rPr>
        <w:t xml:space="preserve"> based</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 xml:space="preserve">on RSRP </w:t>
      </w:r>
      <w:r>
        <w:rPr>
          <w:rFonts w:ascii="Times New Roman" w:hAnsi="Times New Roman" w:cs="Times New Roman"/>
          <w:kern w:val="0"/>
          <w:sz w:val="20"/>
          <w:szCs w:val="20"/>
        </w:rPr>
        <w:t>are not suitable in such scenarios</w:t>
      </w:r>
      <w:r>
        <w:rPr>
          <w:rFonts w:ascii="Times New Roman" w:hAnsi="Times New Roman" w:cs="Times New Roman" w:hint="eastAsia"/>
          <w:kern w:val="0"/>
          <w:sz w:val="20"/>
          <w:szCs w:val="20"/>
        </w:rPr>
        <w:t>, so location-based measurement events were introduced and the l</w:t>
      </w:r>
      <w:r>
        <w:rPr>
          <w:rFonts w:ascii="Times New Roman" w:hAnsi="Times New Roman" w:cs="Times New Roman"/>
          <w:kern w:val="0"/>
          <w:sz w:val="20"/>
          <w:szCs w:val="20"/>
        </w:rPr>
        <w:t>ocation is defined by the distance between UE and a reference location. </w:t>
      </w:r>
      <w:r>
        <w:rPr>
          <w:rFonts w:ascii="Times New Roman" w:hAnsi="Times New Roman" w:cs="Times New Roman" w:hint="eastAsia"/>
          <w:kern w:val="0"/>
          <w:sz w:val="20"/>
          <w:szCs w:val="20"/>
        </w:rPr>
        <w:t xml:space="preserve">In Release 17, event/condEventD1 was introduced for </w:t>
      </w:r>
      <w:r>
        <w:rPr>
          <w:rFonts w:ascii="Times New Roman" w:hAnsi="Times New Roman" w:cs="Times New Roman"/>
          <w:kern w:val="0"/>
          <w:sz w:val="20"/>
          <w:szCs w:val="20"/>
        </w:rPr>
        <w:t>the quasi-earth fixed cell scenario</w:t>
      </w:r>
      <w:r>
        <w:rPr>
          <w:rFonts w:ascii="Times New Roman" w:hAnsi="Times New Roman" w:cs="Times New Roman" w:hint="eastAsia"/>
          <w:kern w:val="0"/>
          <w:sz w:val="20"/>
          <w:szCs w:val="20"/>
        </w:rPr>
        <w:t xml:space="preserve">. In Release 18, event/condEventD2 was introduced for </w:t>
      </w:r>
      <w:r>
        <w:rPr>
          <w:rFonts w:ascii="Times New Roman" w:hAnsi="Times New Roman" w:cs="Times New Roman"/>
          <w:kern w:val="0"/>
          <w:sz w:val="20"/>
          <w:szCs w:val="20"/>
        </w:rPr>
        <w:t xml:space="preserve">the </w:t>
      </w:r>
      <w:r>
        <w:rPr>
          <w:rFonts w:ascii="Times New Roman" w:hAnsi="Times New Roman" w:cs="Times New Roman" w:hint="eastAsia"/>
          <w:kern w:val="0"/>
          <w:sz w:val="20"/>
          <w:szCs w:val="20"/>
        </w:rPr>
        <w:t>e</w:t>
      </w:r>
      <w:r>
        <w:rPr>
          <w:rFonts w:ascii="Times New Roman" w:hAnsi="Times New Roman" w:cs="Times New Roman"/>
          <w:kern w:val="0"/>
          <w:sz w:val="20"/>
          <w:szCs w:val="20"/>
        </w:rPr>
        <w:t>arth-moving cell</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scenario</w:t>
      </w:r>
      <w:r>
        <w:rPr>
          <w:rFonts w:ascii="Times New Roman" w:hAnsi="Times New Roman" w:cs="Times New Roman" w:hint="eastAsia"/>
          <w:kern w:val="0"/>
          <w:sz w:val="20"/>
          <w:szCs w:val="20"/>
        </w:rPr>
        <w:t xml:space="preserve">. The </w:t>
      </w:r>
      <w:r>
        <w:rPr>
          <w:rFonts w:ascii="Times New Roman" w:hAnsi="Times New Roman" w:cs="Times New Roman"/>
          <w:kern w:val="0"/>
          <w:sz w:val="20"/>
          <w:szCs w:val="20"/>
        </w:rPr>
        <w:t>definition</w:t>
      </w:r>
      <w:r>
        <w:rPr>
          <w:rFonts w:ascii="Times New Roman" w:hAnsi="Times New Roman" w:cs="Times New Roman" w:hint="eastAsia"/>
          <w:kern w:val="0"/>
          <w:sz w:val="20"/>
          <w:szCs w:val="20"/>
        </w:rPr>
        <w:t xml:space="preserve"> of event/condEventD1 and event/condEventD2 are shown in the Appendix. The Figure 1 below shows the typical triggered conditions for eventD1 and eventD2: the green crescent-shaped section represents the area satisfying the entering condition, while the blue section represents the area satisfying the leaving condition. </w:t>
      </w:r>
      <w:bookmarkStart w:id="3" w:name="OLE_LINK25"/>
    </w:p>
    <w:bookmarkEnd w:id="3"/>
    <w:p w14:paraId="4693E2F7" w14:textId="77777777" w:rsidR="008560D0" w:rsidRDefault="00000000">
      <w:pPr>
        <w:tabs>
          <w:tab w:val="center" w:pos="4819"/>
        </w:tabs>
        <w:spacing w:after="180"/>
        <w:jc w:val="center"/>
      </w:pPr>
      <w:r>
        <w:rPr>
          <w:noProof/>
        </w:rPr>
        <w:drawing>
          <wp:inline distT="0" distB="0" distL="114300" distR="114300" wp14:anchorId="446BC71F" wp14:editId="75C2D543">
            <wp:extent cx="4213860" cy="2846070"/>
            <wp:effectExtent l="0" t="0" r="0" b="0"/>
            <wp:docPr id="1904848785" name="图片 1904848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848785" name="图片 1904848785"/>
                    <pic:cNvPicPr>
                      <a:picLocks noChangeAspect="1"/>
                    </pic:cNvPicPr>
                  </pic:nvPicPr>
                  <pic:blipFill>
                    <a:blip r:embed="rId11"/>
                    <a:stretch>
                      <a:fillRect/>
                    </a:stretch>
                  </pic:blipFill>
                  <pic:spPr>
                    <a:xfrm>
                      <a:off x="0" y="0"/>
                      <a:ext cx="4254771" cy="2873663"/>
                    </a:xfrm>
                    <a:prstGeom prst="rect">
                      <a:avLst/>
                    </a:prstGeom>
                    <a:noFill/>
                    <a:ln>
                      <a:noFill/>
                    </a:ln>
                  </pic:spPr>
                </pic:pic>
              </a:graphicData>
            </a:graphic>
          </wp:inline>
        </w:drawing>
      </w:r>
    </w:p>
    <w:p w14:paraId="3276F240" w14:textId="77777777" w:rsidR="008560D0" w:rsidRDefault="00000000">
      <w:pPr>
        <w:tabs>
          <w:tab w:val="center" w:pos="4819"/>
        </w:tabs>
        <w:spacing w:after="180"/>
        <w:jc w:val="center"/>
        <w:rPr>
          <w:rFonts w:ascii="Times New Roman" w:hAnsi="Times New Roman" w:cs="Times New Roman"/>
          <w:kern w:val="0"/>
          <w:sz w:val="20"/>
          <w:szCs w:val="20"/>
        </w:rPr>
      </w:pPr>
      <w:r>
        <w:rPr>
          <w:rFonts w:ascii="Times New Roman" w:hAnsi="Times New Roman" w:cs="Times New Roman" w:hint="eastAsia"/>
          <w:kern w:val="0"/>
          <w:sz w:val="20"/>
          <w:szCs w:val="20"/>
        </w:rPr>
        <w:t>Figure 1: the typical</w:t>
      </w:r>
      <w:bookmarkStart w:id="4" w:name="OLE_LINK28"/>
      <w:r>
        <w:rPr>
          <w:rFonts w:ascii="Times New Roman" w:hAnsi="Times New Roman" w:cs="Times New Roman" w:hint="eastAsia"/>
          <w:kern w:val="0"/>
          <w:sz w:val="20"/>
          <w:szCs w:val="20"/>
        </w:rPr>
        <w:t xml:space="preserve"> entering condition</w:t>
      </w:r>
      <w:bookmarkEnd w:id="4"/>
      <w:r>
        <w:rPr>
          <w:rFonts w:ascii="Times New Roman" w:hAnsi="Times New Roman" w:cs="Times New Roman" w:hint="eastAsia"/>
          <w:kern w:val="0"/>
          <w:sz w:val="20"/>
          <w:szCs w:val="20"/>
        </w:rPr>
        <w:t xml:space="preserve"> and leaving conditions for event D1/D2</w:t>
      </w:r>
    </w:p>
    <w:p w14:paraId="1CDBE744" w14:textId="77777777" w:rsidR="008560D0" w:rsidRDefault="00000000">
      <w:pPr>
        <w:tabs>
          <w:tab w:val="center" w:pos="4819"/>
        </w:tabs>
        <w:spacing w:after="180"/>
        <w:rPr>
          <w:rFonts w:ascii="Times New Roman" w:hAnsi="Times New Roman" w:cs="Times New Roman"/>
          <w:kern w:val="0"/>
          <w:sz w:val="20"/>
          <w:szCs w:val="20"/>
        </w:rPr>
      </w:pPr>
      <w:bookmarkStart w:id="5" w:name="OLE_LINK26"/>
      <w:r>
        <w:rPr>
          <w:rFonts w:ascii="Times New Roman" w:hAnsi="Times New Roman" w:cs="Times New Roman"/>
          <w:kern w:val="0"/>
          <w:sz w:val="20"/>
          <w:szCs w:val="20"/>
        </w:rPr>
        <w:t xml:space="preserve">So far, RAN2 has not yet discussed </w:t>
      </w:r>
      <w:r>
        <w:rPr>
          <w:rFonts w:ascii="Times New Roman" w:hAnsi="Times New Roman" w:cs="Times New Roman" w:hint="eastAsia"/>
          <w:kern w:val="0"/>
          <w:sz w:val="20"/>
          <w:szCs w:val="20"/>
        </w:rPr>
        <w:t xml:space="preserve">the </w:t>
      </w:r>
      <w:r>
        <w:rPr>
          <w:rFonts w:ascii="Times New Roman" w:hAnsi="Times New Roman" w:cs="Times New Roman"/>
          <w:kern w:val="0"/>
          <w:sz w:val="20"/>
          <w:szCs w:val="20"/>
        </w:rPr>
        <w:t>inter-frequency overlapping coverage scenario in NR NTN</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(Figure 2).</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We should evaluate whether the existing D1/D2 solutions are </w:t>
      </w:r>
      <w:r>
        <w:rPr>
          <w:rFonts w:ascii="Times New Roman" w:hAnsi="Times New Roman" w:cs="Times New Roman" w:hint="eastAsia"/>
          <w:kern w:val="0"/>
          <w:sz w:val="20"/>
          <w:szCs w:val="20"/>
        </w:rPr>
        <w:t>applicable</w:t>
      </w:r>
      <w:r>
        <w:rPr>
          <w:rFonts w:ascii="Times New Roman" w:hAnsi="Times New Roman" w:cs="Times New Roman"/>
          <w:kern w:val="0"/>
          <w:sz w:val="20"/>
          <w:szCs w:val="20"/>
        </w:rPr>
        <w:t xml:space="preserve"> in this particular scenario.</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As shown in Figure 2, the network may need to trigger load balancing and consider switching UE C to Ncell2, even though UE C is located closer to the center of its serving cell compared to neighboring cells.</w:t>
      </w:r>
      <w:r>
        <w:rPr>
          <w:rFonts w:ascii="Times New Roman" w:hAnsi="Times New Roman" w:cs="Times New Roman" w:hint="eastAsia"/>
          <w:kern w:val="0"/>
          <w:sz w:val="20"/>
          <w:szCs w:val="20"/>
        </w:rPr>
        <w:t xml:space="preserve"> To m</w:t>
      </w:r>
      <w:r>
        <w:rPr>
          <w:rFonts w:ascii="Times New Roman" w:hAnsi="Times New Roman" w:cs="Times New Roman"/>
          <w:kern w:val="0"/>
          <w:sz w:val="20"/>
          <w:szCs w:val="20"/>
        </w:rPr>
        <w:t xml:space="preserve">eet the </w:t>
      </w:r>
      <w:r>
        <w:rPr>
          <w:rFonts w:ascii="Times New Roman" w:hAnsi="Times New Roman" w:cs="Times New Roman" w:hint="eastAsia"/>
          <w:kern w:val="0"/>
          <w:sz w:val="20"/>
          <w:szCs w:val="20"/>
        </w:rPr>
        <w:t xml:space="preserve">entering condition in Figure 1, one possible solution is to </w:t>
      </w:r>
      <w:bookmarkStart w:id="6" w:name="OLE_LINK33"/>
      <w:r>
        <w:rPr>
          <w:rFonts w:ascii="Times New Roman" w:hAnsi="Times New Roman" w:cs="Times New Roman"/>
          <w:kern w:val="0"/>
          <w:sz w:val="20"/>
          <w:szCs w:val="20"/>
        </w:rPr>
        <w:t>configure</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the reference</w:t>
      </w:r>
      <w:r>
        <w:rPr>
          <w:rFonts w:ascii="Times New Roman" w:hAnsi="Times New Roman" w:cs="Times New Roman" w:hint="eastAsia"/>
          <w:kern w:val="0"/>
          <w:sz w:val="20"/>
          <w:szCs w:val="20"/>
        </w:rPr>
        <w:t xml:space="preserve"> location to be far away to</w:t>
      </w:r>
      <w:r>
        <w:rPr>
          <w:rFonts w:ascii="Times New Roman" w:hAnsi="Times New Roman" w:cs="Times New Roman"/>
          <w:kern w:val="0"/>
          <w:sz w:val="20"/>
          <w:szCs w:val="20"/>
        </w:rPr>
        <w:t xml:space="preserve"> to prevent the UE from measuring the service cell</w:t>
      </w:r>
      <w:bookmarkEnd w:id="6"/>
      <w:r>
        <w:rPr>
          <w:rFonts w:ascii="Times New Roman" w:hAnsi="Times New Roman" w:cs="Times New Roman" w:hint="eastAsia"/>
          <w:kern w:val="0"/>
          <w:sz w:val="20"/>
          <w:szCs w:val="20"/>
        </w:rPr>
        <w:t>; another possible solution is to set</w:t>
      </w:r>
      <w:r>
        <w:rPr>
          <w:rFonts w:ascii="Times New Roman" w:hAnsi="Times New Roman" w:cs="Times New Roman"/>
          <w:kern w:val="0"/>
          <w:sz w:val="20"/>
          <w:szCs w:val="20"/>
        </w:rPr>
        <w:t xml:space="preserve"> the</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distanceThreshFromReference1</w:t>
      </w:r>
      <w:r>
        <w:rPr>
          <w:rFonts w:ascii="Times New Roman" w:hAnsi="Times New Roman" w:cs="Times New Roman" w:hint="eastAsia"/>
          <w:kern w:val="0"/>
          <w:sz w:val="20"/>
          <w:szCs w:val="20"/>
        </w:rPr>
        <w:t xml:space="preserve"> to the </w:t>
      </w:r>
      <w:r>
        <w:rPr>
          <w:rFonts w:ascii="Times New Roman" w:hAnsi="Times New Roman" w:cs="Times New Roman"/>
          <w:kern w:val="0"/>
          <w:sz w:val="20"/>
          <w:szCs w:val="20"/>
        </w:rPr>
        <w:t>minimum value</w:t>
      </w:r>
      <w:r>
        <w:rPr>
          <w:rFonts w:ascii="Times New Roman" w:hAnsi="Times New Roman" w:cs="Times New Roman" w:hint="eastAsia"/>
          <w:kern w:val="0"/>
          <w:sz w:val="20"/>
          <w:szCs w:val="20"/>
        </w:rPr>
        <w:t xml:space="preserve"> (i.e., 50 meters) </w:t>
      </w:r>
      <w:r>
        <w:rPr>
          <w:rFonts w:ascii="Times New Roman" w:hAnsi="Times New Roman" w:cs="Times New Roman"/>
          <w:kern w:val="0"/>
          <w:sz w:val="20"/>
          <w:szCs w:val="20"/>
        </w:rPr>
        <w:t>to prevent the UE from measuring the service cell</w:t>
      </w:r>
      <w:r>
        <w:rPr>
          <w:rFonts w:ascii="Times New Roman" w:hAnsi="Times New Roman" w:cs="Times New Roman" w:hint="eastAsia"/>
          <w:kern w:val="0"/>
          <w:sz w:val="20"/>
          <w:szCs w:val="20"/>
        </w:rPr>
        <w:t>.</w:t>
      </w:r>
    </w:p>
    <w:bookmarkEnd w:id="5"/>
    <w:p w14:paraId="183856E5" w14:textId="77777777" w:rsidR="008560D0" w:rsidRDefault="00000000">
      <w:pPr>
        <w:tabs>
          <w:tab w:val="center" w:pos="4819"/>
        </w:tabs>
        <w:spacing w:after="180"/>
        <w:jc w:val="center"/>
        <w:rPr>
          <w:rFonts w:ascii="Times New Roman" w:hAnsi="Times New Roman" w:cs="Times New Roman"/>
          <w:b/>
          <w:kern w:val="0"/>
          <w:sz w:val="20"/>
          <w:szCs w:val="20"/>
          <w:u w:val="single"/>
        </w:rPr>
      </w:pPr>
      <w:r>
        <w:rPr>
          <w:noProof/>
        </w:rPr>
        <w:lastRenderedPageBreak/>
        <w:drawing>
          <wp:inline distT="0" distB="0" distL="114300" distR="114300" wp14:anchorId="4E7C65D9" wp14:editId="155C0F13">
            <wp:extent cx="3266440" cy="2583815"/>
            <wp:effectExtent l="0" t="0" r="0" b="698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2"/>
                    <a:srcRect l="50457" t="3297" r="1568" b="38803"/>
                    <a:stretch>
                      <a:fillRect/>
                    </a:stretch>
                  </pic:blipFill>
                  <pic:spPr>
                    <a:xfrm>
                      <a:off x="0" y="0"/>
                      <a:ext cx="3281095" cy="2595320"/>
                    </a:xfrm>
                    <a:prstGeom prst="rect">
                      <a:avLst/>
                    </a:prstGeom>
                    <a:noFill/>
                    <a:ln>
                      <a:noFill/>
                    </a:ln>
                  </pic:spPr>
                </pic:pic>
              </a:graphicData>
            </a:graphic>
          </wp:inline>
        </w:drawing>
      </w:r>
    </w:p>
    <w:p w14:paraId="446A5A45" w14:textId="77777777" w:rsidR="008560D0" w:rsidRDefault="00000000">
      <w:pPr>
        <w:tabs>
          <w:tab w:val="center" w:pos="4819"/>
        </w:tabs>
        <w:spacing w:after="180"/>
        <w:jc w:val="center"/>
        <w:rPr>
          <w:rFonts w:ascii="Times New Roman" w:hAnsi="Times New Roman" w:cs="Times New Roman"/>
          <w:kern w:val="0"/>
          <w:sz w:val="20"/>
          <w:szCs w:val="20"/>
        </w:rPr>
      </w:pPr>
      <w:r>
        <w:rPr>
          <w:rFonts w:ascii="Times New Roman" w:hAnsi="Times New Roman" w:cs="Times New Roman" w:hint="eastAsia"/>
          <w:kern w:val="0"/>
          <w:sz w:val="20"/>
          <w:szCs w:val="20"/>
        </w:rPr>
        <w:t xml:space="preserve">Figure 2 Inter-frequency </w:t>
      </w:r>
      <w:r>
        <w:rPr>
          <w:rFonts w:ascii="Times New Roman" w:hAnsi="Times New Roman" w:cs="Times New Roman"/>
          <w:kern w:val="0"/>
          <w:sz w:val="20"/>
          <w:szCs w:val="20"/>
        </w:rPr>
        <w:t xml:space="preserve">overlapping </w:t>
      </w:r>
      <w:r>
        <w:rPr>
          <w:rFonts w:ascii="Times New Roman" w:hAnsi="Times New Roman" w:cs="Times New Roman" w:hint="eastAsia"/>
          <w:kern w:val="0"/>
          <w:sz w:val="20"/>
          <w:szCs w:val="20"/>
        </w:rPr>
        <w:t>coverage</w:t>
      </w:r>
    </w:p>
    <w:p w14:paraId="09BDEB9A" w14:textId="77777777" w:rsidR="008560D0" w:rsidRDefault="00000000">
      <w:pPr>
        <w:tabs>
          <w:tab w:val="center" w:pos="4819"/>
        </w:tabs>
        <w:spacing w:after="180"/>
        <w:rPr>
          <w:rFonts w:ascii="Times New Roman" w:hAnsi="Times New Roman" w:cs="Times New Roman"/>
          <w:kern w:val="0"/>
          <w:sz w:val="20"/>
          <w:szCs w:val="20"/>
        </w:rPr>
      </w:pPr>
      <w:r>
        <w:rPr>
          <w:rFonts w:ascii="Times New Roman" w:hAnsi="Times New Roman" w:cs="Times New Roman" w:hint="eastAsia"/>
          <w:kern w:val="0"/>
          <w:sz w:val="20"/>
          <w:szCs w:val="20"/>
        </w:rPr>
        <w:t xml:space="preserve">For the first possible solution, </w:t>
      </w:r>
      <w:bookmarkStart w:id="7" w:name="OLE_LINK30"/>
      <w:r>
        <w:rPr>
          <w:rFonts w:ascii="Times New Roman" w:hAnsi="Times New Roman" w:cs="Times New Roman"/>
          <w:kern w:val="0"/>
          <w:sz w:val="20"/>
          <w:szCs w:val="20"/>
        </w:rPr>
        <w:t>referenceLocation1</w:t>
      </w:r>
      <w:bookmarkEnd w:id="7"/>
      <w:r>
        <w:rPr>
          <w:rFonts w:ascii="Times New Roman" w:hAnsi="Times New Roman" w:cs="Times New Roman"/>
          <w:kern w:val="0"/>
          <w:sz w:val="20"/>
          <w:szCs w:val="20"/>
        </w:rPr>
        <w:t xml:space="preserve"> is associated </w:t>
      </w:r>
      <w:r>
        <w:rPr>
          <w:rFonts w:ascii="Times New Roman" w:hAnsi="Times New Roman" w:cs="Times New Roman" w:hint="eastAsia"/>
          <w:kern w:val="0"/>
          <w:sz w:val="20"/>
          <w:szCs w:val="20"/>
        </w:rPr>
        <w:t>with the</w:t>
      </w:r>
      <w:r>
        <w:rPr>
          <w:rFonts w:ascii="Times New Roman" w:hAnsi="Times New Roman" w:cs="Times New Roman"/>
          <w:kern w:val="0"/>
          <w:sz w:val="20"/>
          <w:szCs w:val="20"/>
        </w:rPr>
        <w:t xml:space="preserve"> serving cell and referenceLocation2 is associated </w:t>
      </w:r>
      <w:r>
        <w:rPr>
          <w:rFonts w:ascii="Times New Roman" w:hAnsi="Times New Roman" w:cs="Times New Roman" w:hint="eastAsia"/>
          <w:kern w:val="0"/>
          <w:sz w:val="20"/>
          <w:szCs w:val="20"/>
        </w:rPr>
        <w:t>with the</w:t>
      </w:r>
      <w:r>
        <w:rPr>
          <w:rFonts w:ascii="Times New Roman" w:hAnsi="Times New Roman" w:cs="Times New Roman"/>
          <w:kern w:val="0"/>
          <w:sz w:val="20"/>
          <w:szCs w:val="20"/>
        </w:rPr>
        <w:t xml:space="preserve"> neighbour cell</w:t>
      </w:r>
      <w:r>
        <w:rPr>
          <w:rFonts w:ascii="Times New Roman" w:hAnsi="Times New Roman" w:cs="Times New Roman" w:hint="eastAsia"/>
          <w:kern w:val="0"/>
          <w:sz w:val="20"/>
          <w:szCs w:val="20"/>
        </w:rPr>
        <w:t xml:space="preserve"> f</w:t>
      </w:r>
      <w:r>
        <w:rPr>
          <w:rFonts w:ascii="Times New Roman" w:hAnsi="Times New Roman" w:cs="Times New Roman"/>
          <w:kern w:val="0"/>
          <w:sz w:val="20"/>
          <w:szCs w:val="20"/>
        </w:rPr>
        <w:t>or eventD1</w:t>
      </w:r>
      <w:r>
        <w:rPr>
          <w:rFonts w:ascii="Times New Roman" w:hAnsi="Times New Roman" w:cs="Times New Roman" w:hint="eastAsia"/>
          <w:kern w:val="0"/>
          <w:sz w:val="20"/>
          <w:szCs w:val="20"/>
        </w:rPr>
        <w:t xml:space="preserve"> [1], which </w:t>
      </w:r>
      <w:r>
        <w:rPr>
          <w:rFonts w:ascii="Times New Roman" w:hAnsi="Times New Roman" w:cs="Times New Roman"/>
          <w:kern w:val="0"/>
          <w:sz w:val="20"/>
          <w:szCs w:val="20"/>
        </w:rPr>
        <w:t>mean</w:t>
      </w:r>
      <w:r>
        <w:rPr>
          <w:rFonts w:ascii="Times New Roman" w:hAnsi="Times New Roman" w:cs="Times New Roman" w:hint="eastAsia"/>
          <w:kern w:val="0"/>
          <w:sz w:val="20"/>
          <w:szCs w:val="20"/>
        </w:rPr>
        <w:t>s</w:t>
      </w:r>
      <w:r>
        <w:rPr>
          <w:rFonts w:ascii="Times New Roman" w:hAnsi="Times New Roman" w:cs="Times New Roman"/>
          <w:kern w:val="0"/>
          <w:sz w:val="20"/>
          <w:szCs w:val="20"/>
        </w:rPr>
        <w:t xml:space="preserve"> that referenceLocation1 can only be selected from</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points</w:t>
      </w:r>
      <w:r>
        <w:rPr>
          <w:rFonts w:ascii="Times New Roman" w:hAnsi="Times New Roman" w:cs="Times New Roman" w:hint="eastAsia"/>
          <w:kern w:val="0"/>
          <w:sz w:val="20"/>
          <w:szCs w:val="20"/>
        </w:rPr>
        <w:t xml:space="preserve"> related to the</w:t>
      </w:r>
      <w:r>
        <w:rPr>
          <w:rFonts w:ascii="Times New Roman" w:hAnsi="Times New Roman" w:cs="Times New Roman"/>
          <w:kern w:val="0"/>
          <w:sz w:val="20"/>
          <w:szCs w:val="20"/>
        </w:rPr>
        <w:t xml:space="preserve"> serving cell. For eventD2, </w:t>
      </w:r>
      <w:r>
        <w:rPr>
          <w:rFonts w:ascii="Times New Roman" w:hAnsi="Times New Roman" w:cs="Times New Roman" w:hint="eastAsia"/>
          <w:kern w:val="0"/>
          <w:sz w:val="20"/>
          <w:szCs w:val="20"/>
        </w:rPr>
        <w:t>t</w:t>
      </w:r>
      <w:r>
        <w:rPr>
          <w:rFonts w:ascii="Times New Roman" w:hAnsi="Times New Roman" w:cs="Times New Roman"/>
          <w:kern w:val="0"/>
          <w:sz w:val="20"/>
          <w:szCs w:val="20"/>
        </w:rPr>
        <w:t>he reference location</w:t>
      </w:r>
      <w:r>
        <w:rPr>
          <w:rFonts w:ascii="Times New Roman" w:hAnsi="Times New Roman" w:cs="Times New Roman" w:hint="eastAsia"/>
          <w:kern w:val="0"/>
          <w:sz w:val="20"/>
          <w:szCs w:val="20"/>
        </w:rPr>
        <w:t xml:space="preserve"> is</w:t>
      </w:r>
      <w:r>
        <w:rPr>
          <w:rFonts w:ascii="Times New Roman" w:hAnsi="Times New Roman" w:cs="Times New Roman"/>
          <w:kern w:val="0"/>
          <w:sz w:val="20"/>
          <w:szCs w:val="20"/>
        </w:rPr>
        <w:t xml:space="preserve"> determined based on </w:t>
      </w:r>
      <w:r>
        <w:rPr>
          <w:rFonts w:ascii="Times New Roman" w:hAnsi="Times New Roman" w:cs="Times New Roman" w:hint="eastAsia"/>
          <w:kern w:val="0"/>
          <w:sz w:val="20"/>
          <w:szCs w:val="20"/>
        </w:rPr>
        <w:t xml:space="preserve">the </w:t>
      </w:r>
      <w:r>
        <w:rPr>
          <w:rFonts w:ascii="Times New Roman" w:hAnsi="Times New Roman" w:cs="Times New Roman"/>
          <w:kern w:val="0"/>
          <w:sz w:val="20"/>
          <w:szCs w:val="20"/>
        </w:rPr>
        <w:t>movingReferenceLocation and its corresponding satellite ephemeris and epoch time broadcast in SIB19</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This means that </w:t>
      </w:r>
      <w:r>
        <w:rPr>
          <w:rFonts w:ascii="Times New Roman" w:hAnsi="Times New Roman" w:cs="Times New Roman" w:hint="eastAsia"/>
          <w:kern w:val="0"/>
          <w:sz w:val="20"/>
          <w:szCs w:val="20"/>
        </w:rPr>
        <w:t xml:space="preserve">the </w:t>
      </w:r>
      <w:r>
        <w:rPr>
          <w:rFonts w:ascii="Times New Roman" w:hAnsi="Times New Roman" w:cs="Times New Roman"/>
          <w:kern w:val="0"/>
          <w:sz w:val="20"/>
          <w:szCs w:val="20"/>
        </w:rPr>
        <w:t>reference location point</w:t>
      </w:r>
      <w:r>
        <w:rPr>
          <w:rFonts w:ascii="Times New Roman" w:hAnsi="Times New Roman" w:cs="Times New Roman" w:hint="eastAsia"/>
          <w:kern w:val="0"/>
          <w:sz w:val="20"/>
          <w:szCs w:val="20"/>
        </w:rPr>
        <w:t xml:space="preserve"> in D2</w:t>
      </w:r>
      <w:r>
        <w:rPr>
          <w:rFonts w:ascii="Times New Roman" w:hAnsi="Times New Roman" w:cs="Times New Roman"/>
          <w:kern w:val="0"/>
          <w:sz w:val="20"/>
          <w:szCs w:val="20"/>
        </w:rPr>
        <w:t xml:space="preserve"> must be configured within the serving cell.</w:t>
      </w:r>
      <w:r>
        <w:rPr>
          <w:rFonts w:ascii="Times New Roman" w:hAnsi="Times New Roman" w:cs="Times New Roman" w:hint="eastAsia"/>
          <w:kern w:val="0"/>
          <w:sz w:val="20"/>
          <w:szCs w:val="20"/>
        </w:rPr>
        <w:t xml:space="preserve"> Therefore</w:t>
      </w:r>
      <w:r>
        <w:rPr>
          <w:rFonts w:ascii="Times New Roman" w:hAnsi="Times New Roman" w:cs="Times New Roman"/>
          <w:kern w:val="0"/>
          <w:sz w:val="20"/>
          <w:szCs w:val="20"/>
        </w:rPr>
        <w:t>,</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config</w:t>
      </w:r>
      <w:r>
        <w:rPr>
          <w:rFonts w:ascii="Times New Roman" w:hAnsi="Times New Roman" w:cs="Times New Roman" w:hint="eastAsia"/>
          <w:kern w:val="0"/>
          <w:sz w:val="20"/>
          <w:szCs w:val="20"/>
        </w:rPr>
        <w:t xml:space="preserve">uring </w:t>
      </w:r>
      <w:r>
        <w:rPr>
          <w:rFonts w:ascii="Times New Roman" w:hAnsi="Times New Roman" w:cs="Times New Roman"/>
          <w:kern w:val="0"/>
          <w:sz w:val="20"/>
          <w:szCs w:val="20"/>
        </w:rPr>
        <w:t>the reference</w:t>
      </w:r>
      <w:r>
        <w:rPr>
          <w:rFonts w:ascii="Times New Roman" w:hAnsi="Times New Roman" w:cs="Times New Roman" w:hint="eastAsia"/>
          <w:kern w:val="0"/>
          <w:sz w:val="20"/>
          <w:szCs w:val="20"/>
        </w:rPr>
        <w:t xml:space="preserve"> location</w:t>
      </w:r>
      <w:r>
        <w:rPr>
          <w:rFonts w:ascii="Times New Roman" w:hAnsi="Times New Roman" w:cs="Times New Roman"/>
          <w:kern w:val="0"/>
          <w:sz w:val="20"/>
          <w:szCs w:val="20"/>
        </w:rPr>
        <w:t xml:space="preserve"> of the </w:t>
      </w:r>
      <w:r>
        <w:rPr>
          <w:rFonts w:ascii="Times New Roman" w:hAnsi="Times New Roman" w:cs="Times New Roman" w:hint="eastAsia"/>
          <w:kern w:val="0"/>
          <w:sz w:val="20"/>
          <w:szCs w:val="20"/>
        </w:rPr>
        <w:t>serving</w:t>
      </w:r>
      <w:r>
        <w:rPr>
          <w:rFonts w:ascii="Times New Roman" w:hAnsi="Times New Roman" w:cs="Times New Roman"/>
          <w:kern w:val="0"/>
          <w:sz w:val="20"/>
          <w:szCs w:val="20"/>
        </w:rPr>
        <w:t xml:space="preserve"> cell </w:t>
      </w:r>
      <w:r>
        <w:rPr>
          <w:rFonts w:ascii="Times New Roman" w:hAnsi="Times New Roman" w:cs="Times New Roman" w:hint="eastAsia"/>
          <w:kern w:val="0"/>
          <w:sz w:val="20"/>
          <w:szCs w:val="20"/>
        </w:rPr>
        <w:t>far away</w:t>
      </w:r>
      <w:r>
        <w:rPr>
          <w:rFonts w:ascii="Times New Roman" w:hAnsi="Times New Roman" w:cs="Times New Roman"/>
          <w:kern w:val="0"/>
          <w:sz w:val="20"/>
          <w:szCs w:val="20"/>
        </w:rPr>
        <w:t xml:space="preserve"> to prevent the UE from measuring</w:t>
      </w:r>
      <w:r>
        <w:rPr>
          <w:rFonts w:ascii="Times New Roman" w:hAnsi="Times New Roman" w:cs="Times New Roman" w:hint="eastAsia"/>
          <w:kern w:val="0"/>
          <w:sz w:val="20"/>
          <w:szCs w:val="20"/>
        </w:rPr>
        <w:t xml:space="preserve"> will not work well</w:t>
      </w:r>
      <w:r>
        <w:t xml:space="preserve"> </w:t>
      </w:r>
      <w:r>
        <w:rPr>
          <w:rFonts w:ascii="Times New Roman" w:hAnsi="Times New Roman" w:cs="Times New Roman" w:hint="eastAsia"/>
          <w:kern w:val="0"/>
          <w:sz w:val="20"/>
          <w:szCs w:val="20"/>
        </w:rPr>
        <w:t>for</w:t>
      </w:r>
      <w:r>
        <w:rPr>
          <w:rFonts w:hint="eastAsia"/>
        </w:rPr>
        <w:t xml:space="preserve"> </w:t>
      </w:r>
      <w:r>
        <w:rPr>
          <w:rFonts w:ascii="Times New Roman" w:hAnsi="Times New Roman" w:cs="Times New Roman"/>
          <w:kern w:val="0"/>
          <w:sz w:val="20"/>
          <w:szCs w:val="20"/>
        </w:rPr>
        <w:t>inter-frequency scenarios with overlapping coverage</w:t>
      </w:r>
      <w:r>
        <w:rPr>
          <w:rFonts w:ascii="Times New Roman" w:hAnsi="Times New Roman" w:cs="Times New Roman" w:hint="eastAsia"/>
          <w:kern w:val="0"/>
          <w:sz w:val="20"/>
          <w:szCs w:val="20"/>
        </w:rPr>
        <w:t xml:space="preserve">. </w:t>
      </w:r>
    </w:p>
    <w:p w14:paraId="2BEE1BE6" w14:textId="77777777" w:rsidR="008560D0" w:rsidRDefault="00000000">
      <w:pPr>
        <w:tabs>
          <w:tab w:val="center" w:pos="4819"/>
        </w:tabs>
        <w:spacing w:after="180"/>
        <w:rPr>
          <w:rFonts w:ascii="Times New Roman" w:hAnsi="Times New Roman" w:cs="Times New Roman"/>
          <w:kern w:val="0"/>
          <w:sz w:val="20"/>
          <w:szCs w:val="20"/>
        </w:rPr>
      </w:pPr>
      <w:r>
        <w:rPr>
          <w:rFonts w:ascii="Times New Roman" w:hAnsi="Times New Roman" w:cs="Times New Roman" w:hint="eastAsia"/>
          <w:kern w:val="0"/>
          <w:sz w:val="20"/>
          <w:szCs w:val="20"/>
        </w:rPr>
        <w:t xml:space="preserve">For the </w:t>
      </w:r>
      <w:r>
        <w:rPr>
          <w:rFonts w:ascii="Times New Roman" w:hAnsi="Times New Roman" w:cs="Times New Roman"/>
          <w:kern w:val="0"/>
          <w:sz w:val="20"/>
          <w:szCs w:val="20"/>
        </w:rPr>
        <w:t>second</w:t>
      </w:r>
      <w:r>
        <w:rPr>
          <w:rFonts w:ascii="Times New Roman" w:hAnsi="Times New Roman" w:cs="Times New Roman" w:hint="eastAsia"/>
          <w:kern w:val="0"/>
          <w:sz w:val="20"/>
          <w:szCs w:val="20"/>
        </w:rPr>
        <w:t xml:space="preserve"> solution, t</w:t>
      </w:r>
      <w:r>
        <w:rPr>
          <w:rFonts w:ascii="Times New Roman" w:hAnsi="Times New Roman" w:cs="Times New Roman"/>
          <w:kern w:val="0"/>
          <w:sz w:val="20"/>
          <w:szCs w:val="20"/>
        </w:rPr>
        <w:t>he</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distanceThreshFromReference1</w:t>
      </w:r>
      <w:r>
        <w:rPr>
          <w:rFonts w:ascii="Times New Roman" w:hAnsi="Times New Roman" w:cs="Times New Roman" w:hint="eastAsia"/>
          <w:kern w:val="0"/>
          <w:sz w:val="20"/>
          <w:szCs w:val="20"/>
        </w:rPr>
        <w:t xml:space="preserve"> can be set to the </w:t>
      </w:r>
      <w:r>
        <w:rPr>
          <w:rFonts w:ascii="Times New Roman" w:hAnsi="Times New Roman" w:cs="Times New Roman"/>
          <w:kern w:val="0"/>
          <w:sz w:val="20"/>
          <w:szCs w:val="20"/>
        </w:rPr>
        <w:t>minimum value</w:t>
      </w:r>
      <w:r>
        <w:rPr>
          <w:rFonts w:ascii="Times New Roman" w:hAnsi="Times New Roman" w:cs="Times New Roman" w:hint="eastAsia"/>
          <w:kern w:val="0"/>
          <w:sz w:val="20"/>
          <w:szCs w:val="20"/>
        </w:rPr>
        <w:t xml:space="preserve"> (i.e., 50 meters) </w:t>
      </w:r>
      <w:r>
        <w:rPr>
          <w:rFonts w:ascii="Times New Roman" w:hAnsi="Times New Roman" w:cs="Times New Roman"/>
          <w:kern w:val="0"/>
          <w:sz w:val="20"/>
          <w:szCs w:val="20"/>
        </w:rPr>
        <w:t>to prevent the UE from measuring the servi</w:t>
      </w:r>
      <w:r>
        <w:rPr>
          <w:rFonts w:ascii="Times New Roman" w:hAnsi="Times New Roman" w:cs="Times New Roman" w:hint="eastAsia"/>
          <w:kern w:val="0"/>
          <w:sz w:val="20"/>
          <w:szCs w:val="20"/>
        </w:rPr>
        <w:t>ng</w:t>
      </w:r>
      <w:r>
        <w:rPr>
          <w:rFonts w:ascii="Times New Roman" w:hAnsi="Times New Roman" w:cs="Times New Roman"/>
          <w:kern w:val="0"/>
          <w:sz w:val="20"/>
          <w:szCs w:val="20"/>
        </w:rPr>
        <w:t xml:space="preserve"> cell</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For </w:t>
      </w:r>
      <w:r>
        <w:rPr>
          <w:rFonts w:ascii="Times New Roman" w:hAnsi="Times New Roman" w:cs="Times New Roman" w:hint="eastAsia"/>
          <w:kern w:val="0"/>
          <w:sz w:val="20"/>
          <w:szCs w:val="20"/>
        </w:rPr>
        <w:t>NTN</w:t>
      </w:r>
      <w:r>
        <w:rPr>
          <w:rFonts w:ascii="Times New Roman" w:hAnsi="Times New Roman" w:cs="Times New Roman"/>
          <w:kern w:val="0"/>
          <w:sz w:val="20"/>
          <w:szCs w:val="20"/>
        </w:rPr>
        <w:t xml:space="preserve">, 50 meters is an extremely small range and can be almost </w:t>
      </w:r>
      <w:r>
        <w:rPr>
          <w:rFonts w:ascii="Times New Roman" w:hAnsi="Times New Roman" w:cs="Times New Roman" w:hint="eastAsia"/>
          <w:kern w:val="0"/>
          <w:sz w:val="20"/>
          <w:szCs w:val="20"/>
        </w:rPr>
        <w:t>ignored</w:t>
      </w:r>
      <w:r>
        <w:rPr>
          <w:rFonts w:ascii="Times New Roman" w:hAnsi="Times New Roman" w:cs="Times New Roman"/>
          <w:kern w:val="0"/>
          <w:sz w:val="20"/>
          <w:szCs w:val="20"/>
        </w:rPr>
        <w:t>.</w:t>
      </w:r>
      <w:r>
        <w:rPr>
          <w:rFonts w:ascii="Times New Roman" w:hAnsi="Times New Roman" w:cs="Times New Roman" w:hint="eastAsia"/>
          <w:kern w:val="0"/>
          <w:sz w:val="20"/>
          <w:szCs w:val="20"/>
        </w:rPr>
        <w:t xml:space="preserve"> However,</w:t>
      </w:r>
      <w:r>
        <w:rPr>
          <w:rFonts w:ascii="Times New Roman" w:hAnsi="Times New Roman" w:cs="Times New Roman"/>
          <w:kern w:val="0"/>
          <w:sz w:val="20"/>
          <w:szCs w:val="20"/>
        </w:rPr>
        <w:t xml:space="preserve"> to mitigate ping-pong effects in NTN deployment scenarios</w:t>
      </w: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the HysteresisLocation for measurement events is configured</w:t>
      </w:r>
      <w:r>
        <w:rPr>
          <w:rFonts w:ascii="Times New Roman" w:hAnsi="Times New Roman" w:cs="Times New Roman" w:hint="eastAsia"/>
          <w:kern w:val="0"/>
          <w:sz w:val="20"/>
          <w:szCs w:val="20"/>
        </w:rPr>
        <w:t xml:space="preserve"> with a suitable value, such as</w:t>
      </w:r>
      <w:r>
        <w:rPr>
          <w:rFonts w:ascii="Times New Roman" w:hAnsi="Times New Roman" w:cs="Times New Roman"/>
          <w:kern w:val="0"/>
          <w:sz w:val="20"/>
          <w:szCs w:val="20"/>
        </w:rPr>
        <w:t xml:space="preserve"> in kilometers.</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This may result in some UEs within the area defined by referenceLocation1</w:t>
      </w: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distanceThreshFromReference1</w:t>
      </w: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and HysteresisLocation not triggering a measurement report, which could prevent them from switching to the neighboring cell and potentially affect the performance of load balancing.</w:t>
      </w:r>
    </w:p>
    <w:p w14:paraId="238F0F66" w14:textId="77777777" w:rsidR="008560D0" w:rsidRDefault="00000000">
      <w:pPr>
        <w:tabs>
          <w:tab w:val="center" w:pos="4819"/>
        </w:tabs>
        <w:spacing w:after="180"/>
        <w:rPr>
          <w:rFonts w:ascii="Times New Roman" w:hAnsi="Times New Roman" w:cs="Times New Roman"/>
          <w:kern w:val="0"/>
          <w:sz w:val="20"/>
          <w:szCs w:val="20"/>
        </w:rPr>
      </w:pPr>
      <w:r>
        <w:rPr>
          <w:rFonts w:ascii="Times New Roman" w:hAnsi="Times New Roman" w:cs="Times New Roman"/>
          <w:kern w:val="0"/>
          <w:sz w:val="20"/>
          <w:szCs w:val="20"/>
        </w:rPr>
        <w:t>In summary, the legacy event</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D1/D2 mechanism</w:t>
      </w:r>
      <w:r>
        <w:rPr>
          <w:rFonts w:ascii="Times New Roman" w:hAnsi="Times New Roman" w:cs="Times New Roman" w:hint="eastAsia"/>
          <w:kern w:val="0"/>
          <w:sz w:val="20"/>
          <w:szCs w:val="20"/>
        </w:rPr>
        <w:t>s</w:t>
      </w:r>
      <w:r>
        <w:rPr>
          <w:rFonts w:ascii="Times New Roman" w:hAnsi="Times New Roman" w:cs="Times New Roman"/>
          <w:kern w:val="0"/>
          <w:sz w:val="20"/>
          <w:szCs w:val="20"/>
        </w:rPr>
        <w:t xml:space="preserve"> </w:t>
      </w:r>
      <w:bookmarkStart w:id="8" w:name="_Hlk205495962"/>
      <w:r>
        <w:rPr>
          <w:rFonts w:ascii="Times New Roman" w:hAnsi="Times New Roman" w:cs="Times New Roman" w:hint="eastAsia"/>
          <w:kern w:val="0"/>
          <w:sz w:val="20"/>
          <w:szCs w:val="20"/>
        </w:rPr>
        <w:t>are</w:t>
      </w:r>
      <w:r>
        <w:rPr>
          <w:rFonts w:ascii="Times New Roman" w:hAnsi="Times New Roman" w:cs="Times New Roman"/>
          <w:kern w:val="0"/>
          <w:sz w:val="20"/>
          <w:szCs w:val="20"/>
        </w:rPr>
        <w:t xml:space="preserve"> not suitable </w:t>
      </w:r>
      <w:bookmarkEnd w:id="8"/>
      <w:r>
        <w:rPr>
          <w:rFonts w:ascii="Times New Roman" w:hAnsi="Times New Roman" w:cs="Times New Roman" w:hint="eastAsia"/>
          <w:kern w:val="0"/>
          <w:sz w:val="20"/>
          <w:szCs w:val="20"/>
        </w:rPr>
        <w:t xml:space="preserve">for </w:t>
      </w:r>
      <w:r>
        <w:rPr>
          <w:rFonts w:ascii="Times New Roman" w:hAnsi="Times New Roman" w:cs="Times New Roman"/>
          <w:kern w:val="0"/>
          <w:sz w:val="20"/>
          <w:szCs w:val="20"/>
        </w:rPr>
        <w:t xml:space="preserve">inter-frequency overlapping coverage scenarios, particularly in </w:t>
      </w:r>
      <w:r>
        <w:rPr>
          <w:rFonts w:ascii="Times New Roman" w:hAnsi="Times New Roman" w:cs="Times New Roman" w:hint="eastAsia"/>
          <w:kern w:val="0"/>
          <w:sz w:val="20"/>
          <w:szCs w:val="20"/>
        </w:rPr>
        <w:t xml:space="preserve">the </w:t>
      </w:r>
      <w:r>
        <w:rPr>
          <w:rFonts w:ascii="Times New Roman" w:hAnsi="Times New Roman" w:cs="Times New Roman"/>
          <w:kern w:val="0"/>
          <w:sz w:val="20"/>
          <w:szCs w:val="20"/>
        </w:rPr>
        <w:t xml:space="preserve">case </w:t>
      </w:r>
      <w:r>
        <w:rPr>
          <w:rFonts w:ascii="Times New Roman" w:hAnsi="Times New Roman" w:cs="Times New Roman" w:hint="eastAsia"/>
          <w:kern w:val="0"/>
          <w:sz w:val="20"/>
          <w:szCs w:val="20"/>
        </w:rPr>
        <w:t xml:space="preserve">of </w:t>
      </w:r>
      <w:r>
        <w:rPr>
          <w:rFonts w:ascii="Times New Roman" w:hAnsi="Times New Roman" w:cs="Times New Roman"/>
          <w:kern w:val="0"/>
          <w:sz w:val="20"/>
          <w:szCs w:val="20"/>
        </w:rPr>
        <w:t>load balancing.</w:t>
      </w:r>
    </w:p>
    <w:p w14:paraId="3DA403ED" w14:textId="77777777" w:rsidR="008560D0" w:rsidRDefault="00000000">
      <w:pPr>
        <w:tabs>
          <w:tab w:val="center" w:pos="4819"/>
        </w:tabs>
        <w:spacing w:after="180"/>
        <w:rPr>
          <w:rFonts w:ascii="Times New Roman" w:hAnsi="Times New Roman" w:cs="Times New Roman"/>
          <w:b/>
          <w:bCs/>
          <w:kern w:val="0"/>
          <w:sz w:val="20"/>
          <w:szCs w:val="20"/>
        </w:rPr>
      </w:pPr>
      <w:bookmarkStart w:id="9" w:name="OLE_LINK39"/>
      <w:bookmarkStart w:id="10" w:name="OLE_LINK1"/>
      <w:r>
        <w:rPr>
          <w:rFonts w:ascii="Times New Roman" w:hAnsi="Times New Roman" w:cs="Times New Roman" w:hint="eastAsia"/>
          <w:b/>
          <w:bCs/>
          <w:kern w:val="0"/>
          <w:sz w:val="20"/>
          <w:szCs w:val="20"/>
        </w:rPr>
        <w:t xml:space="preserve">Observation 1: </w:t>
      </w:r>
      <w:r>
        <w:rPr>
          <w:rFonts w:ascii="Times New Roman" w:hAnsi="Times New Roman" w:cs="Times New Roman"/>
          <w:b/>
          <w:bCs/>
          <w:kern w:val="0"/>
          <w:sz w:val="20"/>
          <w:szCs w:val="20"/>
        </w:rPr>
        <w:t xml:space="preserve">For the inter-frequency overlapping coverage scenario, legacy events D1/D2 are not suitable </w:t>
      </w:r>
      <w:r>
        <w:rPr>
          <w:rFonts w:ascii="Times New Roman" w:hAnsi="Times New Roman" w:cs="Times New Roman" w:hint="eastAsia"/>
          <w:b/>
          <w:bCs/>
          <w:kern w:val="0"/>
          <w:sz w:val="20"/>
          <w:szCs w:val="20"/>
        </w:rPr>
        <w:t>because</w:t>
      </w:r>
      <w:r>
        <w:rPr>
          <w:rFonts w:ascii="Times New Roman" w:hAnsi="Times New Roman" w:cs="Times New Roman"/>
          <w:b/>
          <w:bCs/>
          <w:kern w:val="0"/>
          <w:sz w:val="20"/>
          <w:szCs w:val="20"/>
        </w:rPr>
        <w:t xml:space="preserve"> serving cell-related configuration may hinder the UE from switching to </w:t>
      </w:r>
      <w:r>
        <w:rPr>
          <w:rFonts w:ascii="Times New Roman" w:hAnsi="Times New Roman" w:cs="Times New Roman" w:hint="eastAsia"/>
          <w:b/>
          <w:bCs/>
          <w:kern w:val="0"/>
          <w:sz w:val="20"/>
          <w:szCs w:val="20"/>
        </w:rPr>
        <w:t xml:space="preserve">a </w:t>
      </w:r>
      <w:r>
        <w:rPr>
          <w:rFonts w:ascii="Times New Roman" w:hAnsi="Times New Roman" w:cs="Times New Roman"/>
          <w:b/>
          <w:bCs/>
          <w:kern w:val="0"/>
          <w:sz w:val="20"/>
          <w:szCs w:val="20"/>
        </w:rPr>
        <w:t>neighbor cell, especially for load balancing.</w:t>
      </w:r>
      <w:bookmarkEnd w:id="9"/>
      <w:r>
        <w:rPr>
          <w:rFonts w:ascii="Times New Roman" w:hAnsi="Times New Roman" w:cs="Times New Roman" w:hint="eastAsia"/>
          <w:b/>
          <w:bCs/>
          <w:kern w:val="0"/>
          <w:sz w:val="20"/>
          <w:szCs w:val="20"/>
        </w:rPr>
        <w:t xml:space="preserve"> </w:t>
      </w:r>
    </w:p>
    <w:bookmarkEnd w:id="10"/>
    <w:p w14:paraId="5DBB394C" w14:textId="43FEB22C" w:rsidR="004F66CE" w:rsidRDefault="00000000" w:rsidP="004F66CE">
      <w:pPr>
        <w:tabs>
          <w:tab w:val="center" w:pos="4819"/>
        </w:tabs>
        <w:spacing w:after="180"/>
        <w:rPr>
          <w:rFonts w:ascii="Times New Roman" w:hAnsi="Times New Roman" w:cs="Times New Roman"/>
          <w:kern w:val="0"/>
          <w:sz w:val="20"/>
          <w:szCs w:val="20"/>
        </w:rPr>
      </w:pPr>
      <w:r>
        <w:rPr>
          <w:rFonts w:ascii="Times New Roman" w:hAnsi="Times New Roman" w:cs="Times New Roman"/>
          <w:kern w:val="0"/>
          <w:sz w:val="20"/>
          <w:szCs w:val="20"/>
        </w:rPr>
        <w:t>In order to reduce the impact of the serving cell parameters on neighbo</w:t>
      </w:r>
      <w:r>
        <w:rPr>
          <w:rFonts w:ascii="Times New Roman" w:hAnsi="Times New Roman" w:cs="Times New Roman" w:hint="eastAsia"/>
          <w:kern w:val="0"/>
          <w:sz w:val="20"/>
          <w:szCs w:val="20"/>
        </w:rPr>
        <w:t>u</w:t>
      </w:r>
      <w:r>
        <w:rPr>
          <w:rFonts w:ascii="Times New Roman" w:hAnsi="Times New Roman" w:cs="Times New Roman"/>
          <w:kern w:val="0"/>
          <w:sz w:val="20"/>
          <w:szCs w:val="20"/>
        </w:rPr>
        <w:t>r cell measurements, new events/condEvents D3 and D4, aligned with event A4 in TN, can be defined</w:t>
      </w:r>
      <w:r w:rsidR="006B19C2">
        <w:rPr>
          <w:rFonts w:ascii="Times New Roman" w:hAnsi="Times New Roman" w:cs="Times New Roman" w:hint="eastAsia"/>
          <w:kern w:val="0"/>
          <w:sz w:val="20"/>
          <w:szCs w:val="20"/>
        </w:rPr>
        <w:t>:</w:t>
      </w:r>
    </w:p>
    <w:p w14:paraId="6D6BD1C1" w14:textId="75B7707E" w:rsidR="004F66CE" w:rsidRPr="004F66CE" w:rsidRDefault="004F66CE" w:rsidP="004F66CE">
      <w:pPr>
        <w:tabs>
          <w:tab w:val="center" w:pos="4819"/>
        </w:tabs>
        <w:spacing w:after="180"/>
        <w:rPr>
          <w:rFonts w:ascii="Times New Roman" w:hAnsi="Times New Roman" w:cs="Times New Roman"/>
          <w:kern w:val="0"/>
          <w:sz w:val="20"/>
          <w:szCs w:val="20"/>
        </w:rPr>
      </w:pPr>
      <w:r w:rsidRPr="004F66CE">
        <w:rPr>
          <w:rFonts w:ascii="Times New Roman" w:hAnsi="Times New Roman" w:cs="Times New Roman"/>
          <w:kern w:val="0"/>
          <w:sz w:val="20"/>
          <w:szCs w:val="20"/>
        </w:rPr>
        <w:t>Event D3</w:t>
      </w:r>
      <w:r w:rsidR="006B19C2">
        <w:rPr>
          <w:rFonts w:ascii="Times New Roman" w:hAnsi="Times New Roman" w:cs="Times New Roman" w:hint="eastAsia"/>
          <w:kern w:val="0"/>
          <w:sz w:val="20"/>
          <w:szCs w:val="20"/>
        </w:rPr>
        <w:t xml:space="preserve">: </w:t>
      </w:r>
      <w:r w:rsidRPr="004F66CE">
        <w:rPr>
          <w:rFonts w:ascii="Times New Roman" w:hAnsi="Times New Roman" w:cs="Times New Roman"/>
          <w:kern w:val="0"/>
          <w:sz w:val="20"/>
          <w:szCs w:val="20"/>
        </w:rPr>
        <w:t xml:space="preserve">Distance between UE and referenceLocation </w:t>
      </w:r>
      <w:r w:rsidR="00E73082">
        <w:rPr>
          <w:rFonts w:ascii="Times New Roman" w:hAnsi="Times New Roman" w:cs="Times New Roman" w:hint="eastAsia"/>
          <w:kern w:val="0"/>
          <w:sz w:val="20"/>
          <w:szCs w:val="20"/>
        </w:rPr>
        <w:t xml:space="preserve">becomes </w:t>
      </w:r>
      <w:r w:rsidR="00E73082" w:rsidRPr="00E73082">
        <w:rPr>
          <w:rFonts w:ascii="Times New Roman" w:hAnsi="Times New Roman" w:cs="Times New Roman"/>
          <w:kern w:val="0"/>
          <w:sz w:val="20"/>
          <w:szCs w:val="20"/>
        </w:rPr>
        <w:t>shorter than</w:t>
      </w:r>
      <w:r w:rsidRPr="004F66CE">
        <w:rPr>
          <w:rFonts w:ascii="Times New Roman" w:hAnsi="Times New Roman" w:cs="Times New Roman"/>
          <w:kern w:val="0"/>
          <w:sz w:val="20"/>
          <w:szCs w:val="20"/>
        </w:rPr>
        <w:t xml:space="preserve"> threshold</w:t>
      </w:r>
      <w:r w:rsidR="001610AC">
        <w:rPr>
          <w:rFonts w:ascii="Times New Roman" w:hAnsi="Times New Roman" w:cs="Times New Roman" w:hint="eastAsia"/>
          <w:kern w:val="0"/>
          <w:sz w:val="20"/>
          <w:szCs w:val="20"/>
        </w:rPr>
        <w:t>;</w:t>
      </w:r>
      <w:r w:rsidRPr="004F66CE">
        <w:rPr>
          <w:rFonts w:ascii="Times New Roman" w:hAnsi="Times New Roman" w:cs="Times New Roman" w:hint="eastAsia"/>
          <w:kern w:val="0"/>
          <w:sz w:val="20"/>
          <w:szCs w:val="20"/>
        </w:rPr>
        <w:br/>
      </w:r>
      <w:r w:rsidRPr="004F66CE">
        <w:rPr>
          <w:rFonts w:ascii="Times New Roman" w:hAnsi="Times New Roman" w:cs="Times New Roman"/>
          <w:kern w:val="0"/>
          <w:sz w:val="20"/>
          <w:szCs w:val="20"/>
        </w:rPr>
        <w:t>Event D4</w:t>
      </w:r>
      <w:r w:rsidR="006B19C2">
        <w:rPr>
          <w:rFonts w:ascii="Times New Roman" w:hAnsi="Times New Roman" w:cs="Times New Roman" w:hint="eastAsia"/>
          <w:kern w:val="0"/>
          <w:sz w:val="20"/>
          <w:szCs w:val="20"/>
        </w:rPr>
        <w:t xml:space="preserve">: </w:t>
      </w:r>
      <w:r w:rsidRPr="004F66CE">
        <w:rPr>
          <w:rFonts w:ascii="Times New Roman" w:hAnsi="Times New Roman" w:cs="Times New Roman"/>
          <w:kern w:val="0"/>
          <w:sz w:val="20"/>
          <w:szCs w:val="20"/>
        </w:rPr>
        <w:t xml:space="preserve">Distance between UE and moving reference Location </w:t>
      </w:r>
      <w:r w:rsidR="00BE0E2A">
        <w:rPr>
          <w:rFonts w:ascii="Times New Roman" w:hAnsi="Times New Roman" w:cs="Times New Roman" w:hint="eastAsia"/>
          <w:kern w:val="0"/>
          <w:sz w:val="20"/>
          <w:szCs w:val="20"/>
        </w:rPr>
        <w:t xml:space="preserve">becomes </w:t>
      </w:r>
      <w:r w:rsidR="00BE0E2A" w:rsidRPr="00E73082">
        <w:rPr>
          <w:rFonts w:ascii="Times New Roman" w:hAnsi="Times New Roman" w:cs="Times New Roman"/>
          <w:kern w:val="0"/>
          <w:sz w:val="20"/>
          <w:szCs w:val="20"/>
        </w:rPr>
        <w:t>shorter than</w:t>
      </w:r>
      <w:r w:rsidRPr="004F66CE">
        <w:rPr>
          <w:rFonts w:ascii="Times New Roman" w:hAnsi="Times New Roman" w:cs="Times New Roman"/>
          <w:kern w:val="0"/>
          <w:sz w:val="20"/>
          <w:szCs w:val="20"/>
        </w:rPr>
        <w:t xml:space="preserve"> threshold</w:t>
      </w:r>
      <w:r w:rsidR="001610AC">
        <w:rPr>
          <w:rFonts w:ascii="Times New Roman" w:hAnsi="Times New Roman" w:cs="Times New Roman" w:hint="eastAsia"/>
          <w:kern w:val="0"/>
          <w:sz w:val="20"/>
          <w:szCs w:val="20"/>
        </w:rPr>
        <w:t>.</w:t>
      </w:r>
    </w:p>
    <w:p w14:paraId="583778FB" w14:textId="25BC0D74" w:rsidR="008560D0" w:rsidRDefault="00000000">
      <w:pPr>
        <w:tabs>
          <w:tab w:val="center" w:pos="4819"/>
        </w:tabs>
        <w:spacing w:after="180"/>
        <w:rPr>
          <w:rFonts w:ascii="Times New Roman" w:hAnsi="Times New Roman" w:cs="Times New Roman"/>
          <w:kern w:val="0"/>
          <w:sz w:val="20"/>
          <w:szCs w:val="20"/>
        </w:rPr>
      </w:pPr>
      <w:r>
        <w:rPr>
          <w:rFonts w:ascii="Times New Roman" w:hAnsi="Times New Roman" w:cs="Times New Roman"/>
          <w:kern w:val="0"/>
          <w:sz w:val="20"/>
          <w:szCs w:val="20"/>
        </w:rPr>
        <w:t>These events utilize a single reference location and distanceThreshFromReference to define a circular area.</w:t>
      </w:r>
      <w:r>
        <w:rPr>
          <w:rFonts w:ascii="Times New Roman" w:hAnsi="Times New Roman" w:cs="Times New Roman" w:hint="eastAsia"/>
          <w:kern w:val="0"/>
          <w:sz w:val="20"/>
          <w:szCs w:val="20"/>
          <w:lang w:bidi="ar"/>
        </w:rPr>
        <w:t xml:space="preserve"> </w:t>
      </w:r>
      <w:r>
        <w:rPr>
          <w:rFonts w:ascii="Times New Roman" w:hAnsi="Times New Roman" w:cs="Times New Roman"/>
          <w:kern w:val="0"/>
          <w:sz w:val="20"/>
          <w:szCs w:val="20"/>
        </w:rPr>
        <w:t>The benefit of the new definition is that it is more straightforward and clearer, and the design also aligns with the legacy event A4.</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Regarding user consent, a UE can report its coarse UE location information with an accuracy of 2 km to the NG-RAN, so the minimum value of </w:t>
      </w:r>
      <w:r>
        <w:rPr>
          <w:rFonts w:ascii="Times New Roman" w:hAnsi="Times New Roman" w:cs="Times New Roman"/>
          <w:kern w:val="0"/>
          <w:sz w:val="20"/>
          <w:szCs w:val="20"/>
          <w:lang w:bidi="ar"/>
        </w:rPr>
        <w:t>distanceThreshFromReference</w:t>
      </w:r>
      <w:r>
        <w:rPr>
          <w:rFonts w:ascii="Times New Roman" w:hAnsi="Times New Roman" w:cs="Times New Roman"/>
          <w:kern w:val="0"/>
          <w:sz w:val="20"/>
          <w:szCs w:val="20"/>
        </w:rPr>
        <w:t xml:space="preserve"> can be defined as 2 km.</w:t>
      </w:r>
      <w:r>
        <w:rPr>
          <w:rFonts w:ascii="Times New Roman" w:hAnsi="Times New Roman" w:cs="Times New Roman" w:hint="eastAsia"/>
          <w:kern w:val="0"/>
          <w:sz w:val="20"/>
          <w:szCs w:val="20"/>
        </w:rPr>
        <w:t xml:space="preserve"> Here is an example of the event D3/D4 information element:</w:t>
      </w:r>
      <w:r w:rsidR="00355E7D">
        <w:rPr>
          <w:rFonts w:ascii="Times New Roman" w:hAnsi="Times New Roman" w:cs="Times New Roman" w:hint="eastAsia"/>
          <w:kern w:val="0"/>
          <w:sz w:val="20"/>
          <w:szCs w:val="20"/>
        </w:rPr>
        <w:t xml:space="preserve"> </w:t>
      </w:r>
    </w:p>
    <w:p w14:paraId="5265582C" w14:textId="77777777" w:rsidR="008560D0" w:rsidRDefault="00000000">
      <w:pPr>
        <w:tabs>
          <w:tab w:val="center" w:pos="4819"/>
        </w:tabs>
        <w:spacing w:after="180"/>
        <w:jc w:val="center"/>
        <w:rPr>
          <w:rFonts w:ascii="Times New Roman" w:hAnsi="Times New Roman" w:cs="Times New Roman"/>
          <w:b/>
          <w:bCs/>
          <w:kern w:val="0"/>
          <w:sz w:val="20"/>
          <w:szCs w:val="20"/>
        </w:rPr>
      </w:pPr>
      <w:r>
        <w:rPr>
          <w:rFonts w:ascii="Times New Roman" w:hAnsi="Times New Roman" w:cs="Times New Roman"/>
          <w:b/>
          <w:bCs/>
          <w:kern w:val="0"/>
          <w:sz w:val="20"/>
          <w:szCs w:val="20"/>
          <w:lang w:bidi="ar"/>
        </w:rPr>
        <w:t>Event</w:t>
      </w:r>
      <w:r>
        <w:rPr>
          <w:rFonts w:ascii="Times New Roman" w:hAnsi="Times New Roman" w:cs="Times New Roman" w:hint="eastAsia"/>
          <w:b/>
          <w:bCs/>
          <w:kern w:val="0"/>
          <w:sz w:val="20"/>
          <w:szCs w:val="20"/>
          <w:lang w:bidi="ar"/>
        </w:rPr>
        <w:t xml:space="preserve"> </w:t>
      </w:r>
      <w:r>
        <w:rPr>
          <w:rFonts w:ascii="Times New Roman" w:hAnsi="Times New Roman" w:cs="Times New Roman"/>
          <w:b/>
          <w:bCs/>
          <w:kern w:val="0"/>
          <w:sz w:val="20"/>
          <w:szCs w:val="20"/>
          <w:lang w:bidi="ar"/>
        </w:rPr>
        <w:t>D3/D4 information</w:t>
      </w:r>
      <w:r>
        <w:rPr>
          <w:rFonts w:ascii="Times New Roman" w:hAnsi="Times New Roman" w:cs="Times New Roman"/>
          <w:b/>
          <w:bCs/>
          <w:sz w:val="20"/>
          <w:szCs w:val="20"/>
        </w:rPr>
        <w:t xml:space="preserve"> element</w:t>
      </w:r>
    </w:p>
    <w:p w14:paraId="62C4647A" w14:textId="77777777" w:rsidR="008560D0" w:rsidRDefault="00000000">
      <w:pPr>
        <w:pStyle w:val="afff7"/>
        <w:widowControl/>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kern w:val="0"/>
          <w:sz w:val="16"/>
          <w:szCs w:val="16"/>
          <w:lang w:eastAsia="zh-CN" w:bidi="ar"/>
        </w:rPr>
        <w:t xml:space="preserve">        </w:t>
      </w:r>
      <w:bookmarkStart w:id="11" w:name="OLE_LINK27"/>
      <w:r>
        <w:rPr>
          <w:rFonts w:ascii="Courier New" w:eastAsia="Times New Roman" w:hAnsi="Courier New"/>
          <w:kern w:val="0"/>
          <w:sz w:val="16"/>
          <w:szCs w:val="16"/>
          <w:lang w:eastAsia="zh-CN" w:bidi="ar"/>
        </w:rPr>
        <w:t>eventD</w:t>
      </w:r>
      <w:r>
        <w:rPr>
          <w:rFonts w:ascii="Courier New" w:eastAsiaTheme="minorEastAsia" w:hAnsi="Courier New" w:hint="eastAsia"/>
          <w:kern w:val="0"/>
          <w:sz w:val="16"/>
          <w:szCs w:val="16"/>
          <w:lang w:eastAsia="zh-CN" w:bidi="ar"/>
        </w:rPr>
        <w:t>3</w:t>
      </w:r>
      <w:bookmarkEnd w:id="11"/>
      <w:r>
        <w:rPr>
          <w:rFonts w:ascii="Courier New" w:eastAsia="Times New Roman" w:hAnsi="Courier New"/>
          <w:kern w:val="0"/>
          <w:sz w:val="16"/>
          <w:szCs w:val="16"/>
          <w:lang w:eastAsia="zh-CN" w:bidi="ar"/>
        </w:rPr>
        <w:t>-r1</w:t>
      </w:r>
      <w:r>
        <w:rPr>
          <w:rFonts w:ascii="Courier New" w:eastAsiaTheme="minorEastAsia" w:hAnsi="Courier New" w:hint="eastAsia"/>
          <w:kern w:val="0"/>
          <w:sz w:val="16"/>
          <w:szCs w:val="16"/>
          <w:lang w:eastAsia="zh-CN" w:bidi="ar"/>
        </w:rPr>
        <w:t>9</w:t>
      </w:r>
      <w:r>
        <w:rPr>
          <w:rFonts w:ascii="Courier New" w:eastAsia="Times New Roman" w:hAnsi="Courier New"/>
          <w:kern w:val="0"/>
          <w:sz w:val="16"/>
          <w:szCs w:val="16"/>
          <w:lang w:eastAsia="zh-CN" w:bidi="ar"/>
        </w:rPr>
        <w:t xml:space="preserve">                                 </w:t>
      </w:r>
      <w:r>
        <w:rPr>
          <w:rFonts w:ascii="Courier New" w:eastAsia="Times New Roman" w:hAnsi="Courier New"/>
          <w:color w:val="993366"/>
          <w:kern w:val="0"/>
          <w:sz w:val="16"/>
          <w:szCs w:val="16"/>
          <w:lang w:eastAsia="zh-CN" w:bidi="ar"/>
        </w:rPr>
        <w:t>SEQUENCE</w:t>
      </w:r>
      <w:r>
        <w:rPr>
          <w:rFonts w:ascii="Courier New" w:eastAsia="Times New Roman" w:hAnsi="Courier New"/>
          <w:kern w:val="0"/>
          <w:sz w:val="16"/>
          <w:szCs w:val="16"/>
          <w:lang w:eastAsia="zh-CN" w:bidi="ar"/>
        </w:rPr>
        <w:t xml:space="preserve"> {</w:t>
      </w:r>
    </w:p>
    <w:p w14:paraId="234F8C44" w14:textId="439B5E14" w:rsidR="008560D0" w:rsidRDefault="00000000">
      <w:pPr>
        <w:pStyle w:val="afff7"/>
        <w:widowControl/>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kern w:val="0"/>
          <w:sz w:val="16"/>
          <w:szCs w:val="16"/>
          <w:highlight w:val="yellow"/>
          <w:lang w:eastAsia="zh-CN" w:bidi="ar"/>
        </w:rPr>
      </w:pPr>
      <w:r>
        <w:rPr>
          <w:rFonts w:ascii="Courier New" w:eastAsia="Times New Roman" w:hAnsi="Courier New"/>
          <w:kern w:val="0"/>
          <w:sz w:val="16"/>
          <w:szCs w:val="16"/>
          <w:highlight w:val="yellow"/>
          <w:lang w:eastAsia="zh-CN" w:bidi="ar"/>
        </w:rPr>
        <w:t xml:space="preserve">            distanceThreshFromReference-r1</w:t>
      </w:r>
      <w:r>
        <w:rPr>
          <w:rFonts w:ascii="Courier New" w:eastAsiaTheme="minorEastAsia" w:hAnsi="Courier New" w:hint="eastAsia"/>
          <w:kern w:val="0"/>
          <w:sz w:val="16"/>
          <w:szCs w:val="16"/>
          <w:highlight w:val="yellow"/>
          <w:lang w:eastAsia="zh-CN" w:bidi="ar"/>
        </w:rPr>
        <w:t>9</w:t>
      </w:r>
      <w:r>
        <w:rPr>
          <w:rFonts w:ascii="Courier New" w:eastAsia="Times New Roman" w:hAnsi="Courier New"/>
          <w:kern w:val="0"/>
          <w:sz w:val="16"/>
          <w:szCs w:val="16"/>
          <w:highlight w:val="yellow"/>
          <w:lang w:eastAsia="zh-CN" w:bidi="ar"/>
        </w:rPr>
        <w:t xml:space="preserve">           </w:t>
      </w:r>
      <w:r>
        <w:rPr>
          <w:rFonts w:ascii="Courier New" w:eastAsiaTheme="minorEastAsia" w:hAnsi="Courier New" w:hint="eastAsia"/>
          <w:kern w:val="0"/>
          <w:sz w:val="16"/>
          <w:szCs w:val="16"/>
          <w:highlight w:val="yellow"/>
          <w:lang w:eastAsia="zh-CN" w:bidi="ar"/>
        </w:rPr>
        <w:t xml:space="preserve"> </w:t>
      </w:r>
      <w:r>
        <w:rPr>
          <w:rFonts w:ascii="Courier New" w:eastAsia="Times New Roman" w:hAnsi="Courier New"/>
          <w:kern w:val="0"/>
          <w:sz w:val="16"/>
          <w:szCs w:val="16"/>
          <w:highlight w:val="yellow"/>
          <w:lang w:eastAsia="zh-CN" w:bidi="ar"/>
        </w:rPr>
        <w:t xml:space="preserve"> </w:t>
      </w:r>
      <w:r>
        <w:rPr>
          <w:rFonts w:ascii="Courier New" w:eastAsia="Times New Roman" w:hAnsi="Courier New"/>
          <w:color w:val="993366"/>
          <w:kern w:val="0"/>
          <w:sz w:val="16"/>
          <w:szCs w:val="16"/>
          <w:highlight w:val="yellow"/>
          <w:lang w:eastAsia="zh-CN" w:bidi="ar"/>
        </w:rPr>
        <w:t>INTEGER</w:t>
      </w:r>
      <w:r>
        <w:rPr>
          <w:rFonts w:ascii="Courier New" w:eastAsia="Times New Roman" w:hAnsi="Courier New"/>
          <w:kern w:val="0"/>
          <w:sz w:val="16"/>
          <w:szCs w:val="16"/>
          <w:highlight w:val="yellow"/>
          <w:lang w:eastAsia="zh-CN" w:bidi="ar"/>
        </w:rPr>
        <w:t>(</w:t>
      </w:r>
      <w:r>
        <w:rPr>
          <w:rFonts w:ascii="Courier New" w:eastAsiaTheme="minorEastAsia" w:hAnsi="Courier New" w:hint="eastAsia"/>
          <w:kern w:val="0"/>
          <w:sz w:val="16"/>
          <w:szCs w:val="16"/>
          <w:highlight w:val="yellow"/>
          <w:lang w:eastAsia="zh-CN" w:bidi="ar"/>
        </w:rPr>
        <w:t>40</w:t>
      </w:r>
      <w:r>
        <w:rPr>
          <w:rFonts w:ascii="Courier New" w:eastAsia="Times New Roman" w:hAnsi="Courier New"/>
          <w:kern w:val="0"/>
          <w:sz w:val="16"/>
          <w:szCs w:val="16"/>
          <w:highlight w:val="yellow"/>
          <w:lang w:eastAsia="zh-CN" w:bidi="ar"/>
        </w:rPr>
        <w:t>.. 655</w:t>
      </w:r>
      <w:r w:rsidR="0091163B">
        <w:rPr>
          <w:rFonts w:ascii="Courier New" w:eastAsiaTheme="minorEastAsia" w:hAnsi="Courier New" w:hint="eastAsia"/>
          <w:kern w:val="0"/>
          <w:sz w:val="16"/>
          <w:szCs w:val="16"/>
          <w:highlight w:val="yellow"/>
          <w:lang w:eastAsia="zh-CN" w:bidi="ar"/>
        </w:rPr>
        <w:t>35</w:t>
      </w:r>
      <w:r>
        <w:rPr>
          <w:rFonts w:ascii="Courier New" w:eastAsia="Times New Roman" w:hAnsi="Courier New"/>
          <w:kern w:val="0"/>
          <w:sz w:val="16"/>
          <w:szCs w:val="16"/>
          <w:highlight w:val="yellow"/>
          <w:lang w:eastAsia="zh-CN" w:bidi="ar"/>
        </w:rPr>
        <w:t>),</w:t>
      </w:r>
    </w:p>
    <w:p w14:paraId="37C5FE38" w14:textId="77777777" w:rsidR="008560D0" w:rsidRDefault="00000000">
      <w:pPr>
        <w:pStyle w:val="afff7"/>
        <w:widowControl/>
        <w:shd w:val="clear" w:color="auto" w:fill="E6E6E6"/>
        <w:overflowPunct w:val="0"/>
        <w:autoSpaceDE w:val="0"/>
        <w:autoSpaceDN w:val="0"/>
        <w:adjustRightInd w:val="0"/>
        <w:spacing w:before="0" w:beforeAutospacing="0" w:after="0" w:afterAutospacing="0"/>
        <w:textAlignment w:val="baseline"/>
        <w:rPr>
          <w:rFonts w:ascii="Courier New" w:eastAsiaTheme="minorEastAsia" w:hAnsi="Courier New"/>
          <w:sz w:val="16"/>
          <w:szCs w:val="16"/>
          <w:lang w:eastAsia="zh-CN"/>
        </w:rPr>
      </w:pPr>
      <w:r>
        <w:rPr>
          <w:rFonts w:ascii="Courier New" w:eastAsia="Times New Roman" w:hAnsi="Courier New"/>
          <w:kern w:val="0"/>
          <w:sz w:val="16"/>
          <w:szCs w:val="16"/>
          <w:lang w:eastAsia="zh-CN" w:bidi="ar"/>
        </w:rPr>
        <w:t xml:space="preserve">            referenceLocation-r1</w:t>
      </w:r>
      <w:r>
        <w:rPr>
          <w:rFonts w:ascii="Courier New" w:eastAsiaTheme="minorEastAsia" w:hAnsi="Courier New" w:hint="eastAsia"/>
          <w:kern w:val="0"/>
          <w:sz w:val="16"/>
          <w:szCs w:val="16"/>
          <w:lang w:eastAsia="zh-CN" w:bidi="ar"/>
        </w:rPr>
        <w:t>9</w:t>
      </w:r>
      <w:r>
        <w:rPr>
          <w:rFonts w:ascii="Courier New" w:eastAsia="Times New Roman" w:hAnsi="Courier New"/>
          <w:kern w:val="0"/>
          <w:sz w:val="16"/>
          <w:szCs w:val="16"/>
          <w:lang w:eastAsia="zh-CN" w:bidi="ar"/>
        </w:rPr>
        <w:t xml:space="preserve">                      </w:t>
      </w:r>
      <w:r>
        <w:rPr>
          <w:rFonts w:ascii="Courier New" w:eastAsiaTheme="minorEastAsia" w:hAnsi="Courier New" w:hint="eastAsia"/>
          <w:kern w:val="0"/>
          <w:sz w:val="16"/>
          <w:szCs w:val="16"/>
          <w:lang w:eastAsia="zh-CN" w:bidi="ar"/>
        </w:rPr>
        <w:t xml:space="preserve"> </w:t>
      </w:r>
      <w:r>
        <w:rPr>
          <w:rFonts w:ascii="Courier New" w:eastAsia="Times New Roman" w:hAnsi="Courier New"/>
          <w:kern w:val="0"/>
          <w:sz w:val="16"/>
          <w:szCs w:val="16"/>
          <w:lang w:eastAsia="zh-CN" w:bidi="ar"/>
        </w:rPr>
        <w:t>ReferenceLocation-r17,</w:t>
      </w:r>
    </w:p>
    <w:p w14:paraId="41B67306" w14:textId="77777777" w:rsidR="008560D0" w:rsidRDefault="00000000">
      <w:pPr>
        <w:pStyle w:val="afff7"/>
        <w:widowControl/>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kern w:val="0"/>
          <w:sz w:val="16"/>
          <w:szCs w:val="16"/>
          <w:lang w:eastAsia="zh-CN" w:bidi="ar"/>
        </w:rPr>
        <w:t xml:space="preserve">            reportOnLeave-r1</w:t>
      </w:r>
      <w:r>
        <w:rPr>
          <w:rFonts w:ascii="Courier New" w:eastAsiaTheme="minorEastAsia" w:hAnsi="Courier New" w:hint="eastAsia"/>
          <w:kern w:val="0"/>
          <w:sz w:val="16"/>
          <w:szCs w:val="16"/>
          <w:lang w:eastAsia="zh-CN" w:bidi="ar"/>
        </w:rPr>
        <w:t>9</w:t>
      </w:r>
      <w:r>
        <w:rPr>
          <w:rFonts w:ascii="Courier New" w:eastAsia="Times New Roman" w:hAnsi="Courier New"/>
          <w:kern w:val="0"/>
          <w:sz w:val="16"/>
          <w:szCs w:val="16"/>
          <w:lang w:eastAsia="zh-CN" w:bidi="ar"/>
        </w:rPr>
        <w:t xml:space="preserve">                           </w:t>
      </w:r>
      <w:r>
        <w:rPr>
          <w:rFonts w:ascii="Courier New" w:eastAsia="Times New Roman" w:hAnsi="Courier New"/>
          <w:color w:val="993366"/>
          <w:kern w:val="0"/>
          <w:sz w:val="16"/>
          <w:szCs w:val="16"/>
          <w:lang w:eastAsia="zh-CN" w:bidi="ar"/>
        </w:rPr>
        <w:t>BOOLEAN</w:t>
      </w:r>
      <w:r>
        <w:rPr>
          <w:rFonts w:ascii="Courier New" w:eastAsia="Times New Roman" w:hAnsi="Courier New"/>
          <w:kern w:val="0"/>
          <w:sz w:val="16"/>
          <w:szCs w:val="16"/>
          <w:lang w:eastAsia="zh-CN" w:bidi="ar"/>
        </w:rPr>
        <w:t>,</w:t>
      </w:r>
    </w:p>
    <w:p w14:paraId="0F678E5D" w14:textId="77777777" w:rsidR="008560D0" w:rsidRDefault="00000000">
      <w:pPr>
        <w:pStyle w:val="afff7"/>
        <w:widowControl/>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kern w:val="0"/>
          <w:sz w:val="16"/>
          <w:szCs w:val="16"/>
          <w:lang w:eastAsia="zh-CN" w:bidi="ar"/>
        </w:rPr>
        <w:t xml:space="preserve">            hysteresisLocation-r1</w:t>
      </w:r>
      <w:r>
        <w:rPr>
          <w:rFonts w:ascii="Courier New" w:eastAsiaTheme="minorEastAsia" w:hAnsi="Courier New" w:hint="eastAsia"/>
          <w:kern w:val="0"/>
          <w:sz w:val="16"/>
          <w:szCs w:val="16"/>
          <w:lang w:eastAsia="zh-CN" w:bidi="ar"/>
        </w:rPr>
        <w:t>9</w:t>
      </w:r>
      <w:r>
        <w:rPr>
          <w:rFonts w:ascii="Courier New" w:eastAsia="Times New Roman" w:hAnsi="Courier New"/>
          <w:kern w:val="0"/>
          <w:sz w:val="16"/>
          <w:szCs w:val="16"/>
          <w:lang w:eastAsia="zh-CN" w:bidi="ar"/>
        </w:rPr>
        <w:t xml:space="preserve">                      HysteresisLocation-r17,</w:t>
      </w:r>
    </w:p>
    <w:p w14:paraId="12CD4FD1" w14:textId="77777777" w:rsidR="008560D0" w:rsidRDefault="00000000">
      <w:pPr>
        <w:pStyle w:val="afff7"/>
        <w:widowControl/>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kern w:val="0"/>
          <w:sz w:val="16"/>
          <w:szCs w:val="16"/>
          <w:lang w:eastAsia="zh-CN" w:bidi="ar"/>
        </w:rPr>
        <w:t xml:space="preserve">            timeToTrigger-r1</w:t>
      </w:r>
      <w:r>
        <w:rPr>
          <w:rFonts w:ascii="Courier New" w:eastAsiaTheme="minorEastAsia" w:hAnsi="Courier New" w:hint="eastAsia"/>
          <w:kern w:val="0"/>
          <w:sz w:val="16"/>
          <w:szCs w:val="16"/>
          <w:lang w:eastAsia="zh-CN" w:bidi="ar"/>
        </w:rPr>
        <w:t>9</w:t>
      </w:r>
      <w:r>
        <w:rPr>
          <w:rFonts w:ascii="Courier New" w:eastAsia="Times New Roman" w:hAnsi="Courier New"/>
          <w:kern w:val="0"/>
          <w:sz w:val="16"/>
          <w:szCs w:val="16"/>
          <w:lang w:eastAsia="zh-CN" w:bidi="ar"/>
        </w:rPr>
        <w:t xml:space="preserve">                          </w:t>
      </w:r>
      <w:r>
        <w:rPr>
          <w:rFonts w:ascii="Courier New" w:eastAsia="Times New Roman" w:hAnsi="Courier New" w:hint="eastAsia"/>
          <w:kern w:val="0"/>
          <w:sz w:val="16"/>
          <w:szCs w:val="16"/>
          <w:lang w:eastAsia="zh-CN" w:bidi="ar"/>
        </w:rPr>
        <w:t xml:space="preserve"> </w:t>
      </w:r>
      <w:r>
        <w:rPr>
          <w:rFonts w:ascii="Courier New" w:eastAsia="Times New Roman" w:hAnsi="Courier New"/>
          <w:kern w:val="0"/>
          <w:sz w:val="16"/>
          <w:szCs w:val="16"/>
          <w:lang w:eastAsia="zh-CN" w:bidi="ar"/>
        </w:rPr>
        <w:t>TimeToTrigger</w:t>
      </w:r>
    </w:p>
    <w:p w14:paraId="697BCA15" w14:textId="77777777" w:rsidR="008560D0" w:rsidRDefault="00000000">
      <w:pPr>
        <w:pStyle w:val="afff7"/>
        <w:widowControl/>
        <w:shd w:val="clear" w:color="auto" w:fill="E6E6E6"/>
        <w:overflowPunct w:val="0"/>
        <w:autoSpaceDE w:val="0"/>
        <w:autoSpaceDN w:val="0"/>
        <w:adjustRightInd w:val="0"/>
        <w:spacing w:before="0" w:beforeAutospacing="0" w:after="0" w:afterAutospacing="0"/>
        <w:textAlignment w:val="baseline"/>
        <w:rPr>
          <w:rFonts w:ascii="Courier New" w:eastAsia="宋体" w:hAnsi="Courier New"/>
          <w:sz w:val="16"/>
          <w:szCs w:val="16"/>
          <w:lang w:eastAsia="zh-CN"/>
        </w:rPr>
      </w:pPr>
      <w:r>
        <w:rPr>
          <w:rFonts w:ascii="Courier New" w:eastAsia="Times New Roman" w:hAnsi="Courier New"/>
          <w:kern w:val="0"/>
          <w:sz w:val="16"/>
          <w:szCs w:val="16"/>
          <w:lang w:eastAsia="zh-CN" w:bidi="ar"/>
        </w:rPr>
        <w:t xml:space="preserve">        }</w:t>
      </w:r>
    </w:p>
    <w:p w14:paraId="4D047A92" w14:textId="77777777" w:rsidR="008560D0" w:rsidRDefault="00000000">
      <w:pPr>
        <w:pStyle w:val="afff7"/>
        <w:widowControl/>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kern w:val="0"/>
          <w:sz w:val="16"/>
          <w:szCs w:val="16"/>
          <w:lang w:eastAsia="zh-CN" w:bidi="ar"/>
        </w:rPr>
      </w:pPr>
      <w:r>
        <w:rPr>
          <w:rFonts w:ascii="Courier New" w:eastAsia="Times New Roman" w:hAnsi="Courier New"/>
          <w:kern w:val="0"/>
          <w:sz w:val="16"/>
          <w:szCs w:val="16"/>
          <w:lang w:eastAsia="zh-CN" w:bidi="ar"/>
        </w:rPr>
        <w:t xml:space="preserve">        eventD</w:t>
      </w:r>
      <w:r>
        <w:rPr>
          <w:rFonts w:ascii="Courier New" w:eastAsiaTheme="minorEastAsia" w:hAnsi="Courier New" w:hint="eastAsia"/>
          <w:kern w:val="0"/>
          <w:sz w:val="16"/>
          <w:szCs w:val="16"/>
          <w:lang w:eastAsia="zh-CN" w:bidi="ar"/>
        </w:rPr>
        <w:t>4</w:t>
      </w:r>
      <w:r>
        <w:rPr>
          <w:rFonts w:ascii="Courier New" w:eastAsia="Times New Roman" w:hAnsi="Courier New"/>
          <w:kern w:val="0"/>
          <w:sz w:val="16"/>
          <w:szCs w:val="16"/>
          <w:lang w:eastAsia="zh-CN" w:bidi="ar"/>
        </w:rPr>
        <w:t>-r1</w:t>
      </w:r>
      <w:r>
        <w:rPr>
          <w:rFonts w:ascii="Courier New" w:eastAsiaTheme="minorEastAsia" w:hAnsi="Courier New" w:hint="eastAsia"/>
          <w:kern w:val="0"/>
          <w:sz w:val="16"/>
          <w:szCs w:val="16"/>
          <w:lang w:eastAsia="zh-CN" w:bidi="ar"/>
        </w:rPr>
        <w:t>9</w:t>
      </w:r>
      <w:r>
        <w:rPr>
          <w:rFonts w:ascii="Courier New" w:eastAsia="Times New Roman" w:hAnsi="Courier New"/>
          <w:kern w:val="0"/>
          <w:sz w:val="16"/>
          <w:szCs w:val="16"/>
          <w:lang w:eastAsia="zh-CN" w:bidi="ar"/>
        </w:rPr>
        <w:t xml:space="preserve">                                 </w:t>
      </w:r>
      <w:r>
        <w:rPr>
          <w:rFonts w:ascii="Courier New" w:eastAsia="Times New Roman" w:hAnsi="Courier New"/>
          <w:color w:val="993366"/>
          <w:kern w:val="0"/>
          <w:sz w:val="16"/>
          <w:szCs w:val="16"/>
          <w:lang w:eastAsia="zh-CN" w:bidi="ar"/>
        </w:rPr>
        <w:t>SEQUENCE</w:t>
      </w:r>
      <w:r>
        <w:rPr>
          <w:rFonts w:ascii="Courier New" w:eastAsia="Times New Roman" w:hAnsi="Courier New"/>
          <w:kern w:val="0"/>
          <w:sz w:val="16"/>
          <w:szCs w:val="16"/>
          <w:lang w:eastAsia="zh-CN" w:bidi="ar"/>
        </w:rPr>
        <w:t xml:space="preserve"> {</w:t>
      </w:r>
    </w:p>
    <w:p w14:paraId="3FDEFEF1" w14:textId="77777777" w:rsidR="008560D0" w:rsidRDefault="00000000">
      <w:pPr>
        <w:pStyle w:val="afff7"/>
        <w:widowControl/>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kern w:val="0"/>
          <w:sz w:val="16"/>
          <w:szCs w:val="16"/>
          <w:highlight w:val="yellow"/>
          <w:lang w:eastAsia="zh-CN" w:bidi="ar"/>
        </w:rPr>
      </w:pPr>
      <w:r>
        <w:rPr>
          <w:rFonts w:ascii="Courier New" w:eastAsia="Times New Roman" w:hAnsi="Courier New"/>
          <w:kern w:val="0"/>
          <w:sz w:val="16"/>
          <w:szCs w:val="16"/>
          <w:highlight w:val="yellow"/>
          <w:lang w:eastAsia="zh-CN" w:bidi="ar"/>
        </w:rPr>
        <w:t xml:space="preserve">            distanceThreshFromReference-r1</w:t>
      </w:r>
      <w:r>
        <w:rPr>
          <w:rFonts w:ascii="Courier New" w:eastAsiaTheme="minorEastAsia" w:hAnsi="Courier New" w:hint="eastAsia"/>
          <w:kern w:val="0"/>
          <w:sz w:val="16"/>
          <w:szCs w:val="16"/>
          <w:highlight w:val="yellow"/>
          <w:lang w:eastAsia="zh-CN" w:bidi="ar"/>
        </w:rPr>
        <w:t>9</w:t>
      </w:r>
      <w:r>
        <w:rPr>
          <w:rFonts w:ascii="Courier New" w:eastAsia="Times New Roman" w:hAnsi="Courier New"/>
          <w:kern w:val="0"/>
          <w:sz w:val="16"/>
          <w:szCs w:val="16"/>
          <w:highlight w:val="yellow"/>
          <w:lang w:eastAsia="zh-CN" w:bidi="ar"/>
        </w:rPr>
        <w:t xml:space="preserve">    </w:t>
      </w:r>
      <w:r>
        <w:rPr>
          <w:rFonts w:ascii="Courier New" w:eastAsiaTheme="minorEastAsia" w:hAnsi="Courier New" w:hint="eastAsia"/>
          <w:kern w:val="0"/>
          <w:sz w:val="16"/>
          <w:szCs w:val="16"/>
          <w:highlight w:val="yellow"/>
          <w:lang w:eastAsia="zh-CN" w:bidi="ar"/>
        </w:rPr>
        <w:t xml:space="preserve"> </w:t>
      </w:r>
      <w:r>
        <w:rPr>
          <w:rFonts w:ascii="Courier New" w:eastAsia="Times New Roman" w:hAnsi="Courier New"/>
          <w:kern w:val="0"/>
          <w:sz w:val="16"/>
          <w:szCs w:val="16"/>
          <w:highlight w:val="yellow"/>
          <w:lang w:eastAsia="zh-CN" w:bidi="ar"/>
        </w:rPr>
        <w:t xml:space="preserve">        </w:t>
      </w:r>
      <w:r>
        <w:rPr>
          <w:rFonts w:ascii="Courier New" w:eastAsia="Times New Roman" w:hAnsi="Courier New"/>
          <w:color w:val="993366"/>
          <w:kern w:val="0"/>
          <w:sz w:val="16"/>
          <w:szCs w:val="16"/>
          <w:highlight w:val="yellow"/>
          <w:lang w:eastAsia="zh-CN" w:bidi="ar"/>
        </w:rPr>
        <w:t>INTEGER</w:t>
      </w:r>
      <w:r>
        <w:rPr>
          <w:rFonts w:ascii="Courier New" w:eastAsia="Times New Roman" w:hAnsi="Courier New"/>
          <w:kern w:val="0"/>
          <w:sz w:val="16"/>
          <w:szCs w:val="16"/>
          <w:highlight w:val="yellow"/>
          <w:lang w:eastAsia="zh-CN" w:bidi="ar"/>
        </w:rPr>
        <w:t>(</w:t>
      </w:r>
      <w:r>
        <w:rPr>
          <w:rFonts w:ascii="Courier New" w:eastAsiaTheme="minorEastAsia" w:hAnsi="Courier New" w:hint="eastAsia"/>
          <w:kern w:val="0"/>
          <w:sz w:val="16"/>
          <w:szCs w:val="16"/>
          <w:highlight w:val="yellow"/>
          <w:lang w:eastAsia="zh-CN" w:bidi="ar"/>
        </w:rPr>
        <w:t>40</w:t>
      </w:r>
      <w:r>
        <w:rPr>
          <w:rFonts w:ascii="Courier New" w:eastAsia="Times New Roman" w:hAnsi="Courier New"/>
          <w:kern w:val="0"/>
          <w:sz w:val="16"/>
          <w:szCs w:val="16"/>
          <w:highlight w:val="yellow"/>
          <w:lang w:eastAsia="zh-CN" w:bidi="ar"/>
        </w:rPr>
        <w:t>.. 65535),</w:t>
      </w:r>
    </w:p>
    <w:p w14:paraId="0A2DD6E0" w14:textId="77777777" w:rsidR="008560D0" w:rsidRDefault="00000000">
      <w:pPr>
        <w:pStyle w:val="afff7"/>
        <w:widowControl/>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kern w:val="0"/>
          <w:sz w:val="16"/>
          <w:szCs w:val="16"/>
          <w:lang w:eastAsia="zh-CN" w:bidi="ar"/>
        </w:rPr>
        <w:t xml:space="preserve">            reportOnLeave-r1</w:t>
      </w:r>
      <w:r>
        <w:rPr>
          <w:rFonts w:ascii="Courier New" w:eastAsiaTheme="minorEastAsia" w:hAnsi="Courier New" w:hint="eastAsia"/>
          <w:kern w:val="0"/>
          <w:sz w:val="16"/>
          <w:szCs w:val="16"/>
          <w:lang w:eastAsia="zh-CN" w:bidi="ar"/>
        </w:rPr>
        <w:t>9</w:t>
      </w:r>
      <w:r>
        <w:rPr>
          <w:rFonts w:ascii="Courier New" w:eastAsia="Times New Roman" w:hAnsi="Courier New"/>
          <w:kern w:val="0"/>
          <w:sz w:val="16"/>
          <w:szCs w:val="16"/>
          <w:lang w:eastAsia="zh-CN" w:bidi="ar"/>
        </w:rPr>
        <w:t xml:space="preserve">                           </w:t>
      </w:r>
      <w:r>
        <w:rPr>
          <w:rFonts w:ascii="Courier New" w:eastAsia="Times New Roman" w:hAnsi="Courier New"/>
          <w:color w:val="993366"/>
          <w:kern w:val="0"/>
          <w:sz w:val="16"/>
          <w:szCs w:val="16"/>
          <w:lang w:eastAsia="zh-CN" w:bidi="ar"/>
        </w:rPr>
        <w:t>BOOLEAN</w:t>
      </w:r>
      <w:r>
        <w:rPr>
          <w:rFonts w:ascii="Courier New" w:eastAsia="Times New Roman" w:hAnsi="Courier New"/>
          <w:kern w:val="0"/>
          <w:sz w:val="16"/>
          <w:szCs w:val="16"/>
          <w:lang w:eastAsia="zh-CN" w:bidi="ar"/>
        </w:rPr>
        <w:t>,</w:t>
      </w:r>
    </w:p>
    <w:p w14:paraId="1B98FE48" w14:textId="77777777" w:rsidR="008560D0" w:rsidRDefault="00000000">
      <w:pPr>
        <w:pStyle w:val="afff7"/>
        <w:widowControl/>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kern w:val="0"/>
          <w:sz w:val="16"/>
          <w:szCs w:val="16"/>
          <w:lang w:eastAsia="zh-CN" w:bidi="ar"/>
        </w:rPr>
        <w:lastRenderedPageBreak/>
        <w:t xml:space="preserve">            hysteresisLocation-r1</w:t>
      </w:r>
      <w:r>
        <w:rPr>
          <w:rFonts w:ascii="Courier New" w:eastAsiaTheme="minorEastAsia" w:hAnsi="Courier New" w:hint="eastAsia"/>
          <w:kern w:val="0"/>
          <w:sz w:val="16"/>
          <w:szCs w:val="16"/>
          <w:lang w:eastAsia="zh-CN" w:bidi="ar"/>
        </w:rPr>
        <w:t>9</w:t>
      </w:r>
      <w:r>
        <w:rPr>
          <w:rFonts w:ascii="Courier New" w:eastAsia="Times New Roman" w:hAnsi="Courier New"/>
          <w:kern w:val="0"/>
          <w:sz w:val="16"/>
          <w:szCs w:val="16"/>
          <w:lang w:eastAsia="zh-CN" w:bidi="ar"/>
        </w:rPr>
        <w:t xml:space="preserve">                      HysteresisLocation-r17,</w:t>
      </w:r>
    </w:p>
    <w:p w14:paraId="575FDEC1" w14:textId="77777777" w:rsidR="008560D0" w:rsidRDefault="00000000">
      <w:pPr>
        <w:pStyle w:val="afff7"/>
        <w:widowControl/>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kern w:val="0"/>
          <w:sz w:val="16"/>
          <w:szCs w:val="16"/>
          <w:lang w:eastAsia="zh-CN" w:bidi="ar"/>
        </w:rPr>
        <w:t xml:space="preserve">            timeToTrigger-r1</w:t>
      </w:r>
      <w:r>
        <w:rPr>
          <w:rFonts w:ascii="Courier New" w:eastAsiaTheme="minorEastAsia" w:hAnsi="Courier New" w:hint="eastAsia"/>
          <w:kern w:val="0"/>
          <w:sz w:val="16"/>
          <w:szCs w:val="16"/>
          <w:lang w:eastAsia="zh-CN" w:bidi="ar"/>
        </w:rPr>
        <w:t>9</w:t>
      </w:r>
      <w:r>
        <w:rPr>
          <w:rFonts w:ascii="Courier New" w:eastAsia="Times New Roman" w:hAnsi="Courier New"/>
          <w:kern w:val="0"/>
          <w:sz w:val="16"/>
          <w:szCs w:val="16"/>
          <w:lang w:eastAsia="zh-CN" w:bidi="ar"/>
        </w:rPr>
        <w:t xml:space="preserve">                        </w:t>
      </w:r>
      <w:r>
        <w:rPr>
          <w:rFonts w:ascii="Courier New" w:eastAsia="Times New Roman" w:hAnsi="Courier New" w:hint="eastAsia"/>
          <w:kern w:val="0"/>
          <w:sz w:val="16"/>
          <w:szCs w:val="16"/>
          <w:lang w:eastAsia="zh-CN" w:bidi="ar"/>
        </w:rPr>
        <w:t xml:space="preserve"> </w:t>
      </w:r>
      <w:r>
        <w:rPr>
          <w:rFonts w:ascii="Courier New" w:eastAsia="Times New Roman" w:hAnsi="Courier New"/>
          <w:kern w:val="0"/>
          <w:sz w:val="16"/>
          <w:szCs w:val="16"/>
          <w:lang w:eastAsia="zh-CN" w:bidi="ar"/>
        </w:rPr>
        <w:t xml:space="preserve">  TimeToTrigger</w:t>
      </w:r>
    </w:p>
    <w:p w14:paraId="13F180B6" w14:textId="77777777" w:rsidR="008560D0" w:rsidRDefault="00000000">
      <w:pPr>
        <w:pStyle w:val="afff7"/>
        <w:widowControl/>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kern w:val="0"/>
          <w:sz w:val="16"/>
          <w:szCs w:val="16"/>
          <w:lang w:eastAsia="zh-CN" w:bidi="ar"/>
        </w:rPr>
      </w:pPr>
      <w:r>
        <w:rPr>
          <w:rFonts w:ascii="Courier New" w:eastAsia="Times New Roman" w:hAnsi="Courier New"/>
          <w:kern w:val="0"/>
          <w:sz w:val="16"/>
          <w:szCs w:val="16"/>
          <w:lang w:eastAsia="zh-CN" w:bidi="ar"/>
        </w:rPr>
        <w:t xml:space="preserve">        }</w:t>
      </w:r>
    </w:p>
    <w:p w14:paraId="632925E0" w14:textId="77777777" w:rsidR="008560D0" w:rsidRDefault="00000000">
      <w:pPr>
        <w:tabs>
          <w:tab w:val="center" w:pos="4819"/>
        </w:tabs>
        <w:spacing w:after="180"/>
        <w:rPr>
          <w:rFonts w:ascii="Times New Roman" w:hAnsi="Times New Roman" w:cs="Times New Roman"/>
          <w:b/>
          <w:bCs/>
          <w:kern w:val="0"/>
          <w:sz w:val="20"/>
          <w:szCs w:val="20"/>
        </w:rPr>
      </w:pPr>
      <w:bookmarkStart w:id="12" w:name="OLE_LINK40"/>
      <w:r>
        <w:rPr>
          <w:rFonts w:ascii="Times New Roman" w:hAnsi="Times New Roman" w:cs="Times New Roman" w:hint="eastAsia"/>
          <w:b/>
          <w:bCs/>
          <w:kern w:val="0"/>
          <w:sz w:val="20"/>
          <w:szCs w:val="20"/>
        </w:rPr>
        <w:t xml:space="preserve">Observation 2: </w:t>
      </w:r>
      <w:r>
        <w:rPr>
          <w:rFonts w:ascii="Times New Roman" w:hAnsi="Times New Roman" w:cs="Times New Roman"/>
          <w:b/>
          <w:bCs/>
          <w:kern w:val="0"/>
          <w:sz w:val="20"/>
          <w:szCs w:val="20"/>
        </w:rPr>
        <w:t xml:space="preserve">The new event D3/D4 mechanism is more straightforward and clearly defined, and it aligns with the legacy event A4 </w:t>
      </w:r>
      <w:r>
        <w:rPr>
          <w:rFonts w:ascii="Times New Roman" w:hAnsi="Times New Roman" w:cs="Times New Roman" w:hint="eastAsia"/>
          <w:b/>
          <w:bCs/>
          <w:kern w:val="0"/>
          <w:sz w:val="20"/>
          <w:szCs w:val="20"/>
        </w:rPr>
        <w:t>in TN</w:t>
      </w:r>
      <w:r>
        <w:rPr>
          <w:rFonts w:ascii="Times New Roman" w:hAnsi="Times New Roman" w:cs="Times New Roman"/>
          <w:b/>
          <w:bCs/>
          <w:kern w:val="0"/>
          <w:sz w:val="20"/>
          <w:szCs w:val="20"/>
        </w:rPr>
        <w:t>.</w:t>
      </w:r>
    </w:p>
    <w:bookmarkEnd w:id="12"/>
    <w:p w14:paraId="62852C92" w14:textId="77777777" w:rsidR="008560D0" w:rsidRDefault="00000000">
      <w:pPr>
        <w:tabs>
          <w:tab w:val="center" w:pos="4819"/>
        </w:tabs>
        <w:spacing w:after="180"/>
        <w:rPr>
          <w:rFonts w:ascii="Times New Roman" w:hAnsi="Times New Roman" w:cs="Times New Roman"/>
          <w:kern w:val="0"/>
          <w:sz w:val="20"/>
          <w:szCs w:val="20"/>
        </w:rPr>
      </w:pPr>
      <w:r>
        <w:rPr>
          <w:rFonts w:ascii="Times New Roman" w:hAnsi="Times New Roman" w:cs="Times New Roman" w:hint="eastAsia"/>
          <w:kern w:val="0"/>
          <w:sz w:val="20"/>
          <w:szCs w:val="20"/>
        </w:rPr>
        <w:t xml:space="preserve">Another solution is to enhance the existing event D1/D2 with an implicit indication to </w:t>
      </w:r>
      <w:bookmarkStart w:id="13" w:name="OLE_LINK37"/>
      <w:r>
        <w:rPr>
          <w:rFonts w:ascii="Times New Roman" w:hAnsi="Times New Roman" w:cs="Times New Roman" w:hint="eastAsia"/>
          <w:kern w:val="0"/>
          <w:sz w:val="20"/>
          <w:szCs w:val="20"/>
        </w:rPr>
        <w:t xml:space="preserve">ignore </w:t>
      </w:r>
      <w:bookmarkEnd w:id="13"/>
      <w:r>
        <w:rPr>
          <w:rFonts w:ascii="Times New Roman" w:hAnsi="Times New Roman" w:cs="Times New Roman" w:hint="eastAsia"/>
          <w:kern w:val="0"/>
          <w:sz w:val="20"/>
          <w:szCs w:val="20"/>
        </w:rPr>
        <w:t xml:space="preserve">the reference location of the serving cell. According to the current specification, the minimum configuration value for the distance threshold in event D1/D2 is 1 (i.e., 50 meters), while the minimum value for condEvent D1/D2 is 0. These minimum value configurations are not commonly used in NTN. If </w:t>
      </w:r>
      <w:r>
        <w:rPr>
          <w:rFonts w:ascii="Times New Roman" w:hAnsi="Times New Roman" w:cs="Times New Roman"/>
          <w:kern w:val="0"/>
          <w:sz w:val="20"/>
          <w:szCs w:val="20"/>
        </w:rPr>
        <w:t>the</w:t>
      </w:r>
      <w:r>
        <w:rPr>
          <w:rFonts w:ascii="Times New Roman" w:hAnsi="Times New Roman" w:cs="Times New Roman" w:hint="eastAsia"/>
          <w:kern w:val="0"/>
          <w:sz w:val="20"/>
          <w:szCs w:val="20"/>
        </w:rPr>
        <w:t xml:space="preserve"> minimum value is configured, </w:t>
      </w:r>
      <w:r>
        <w:rPr>
          <w:rFonts w:ascii="Times New Roman" w:hAnsi="Times New Roman" w:cs="Times New Roman"/>
          <w:kern w:val="0"/>
          <w:sz w:val="20"/>
          <w:szCs w:val="20"/>
        </w:rPr>
        <w:t xml:space="preserve">the reference </w:t>
      </w:r>
      <w:r>
        <w:rPr>
          <w:rFonts w:ascii="Times New Roman" w:hAnsi="Times New Roman" w:cs="Times New Roman" w:hint="eastAsia"/>
          <w:kern w:val="0"/>
          <w:sz w:val="20"/>
          <w:szCs w:val="20"/>
        </w:rPr>
        <w:t>location</w:t>
      </w:r>
      <w:r>
        <w:rPr>
          <w:rFonts w:ascii="Times New Roman" w:hAnsi="Times New Roman" w:cs="Times New Roman"/>
          <w:kern w:val="0"/>
          <w:sz w:val="20"/>
          <w:szCs w:val="20"/>
        </w:rPr>
        <w:t xml:space="preserve"> of the serving cell </w:t>
      </w:r>
      <w:r>
        <w:rPr>
          <w:rFonts w:ascii="Times New Roman" w:hAnsi="Times New Roman" w:cs="Times New Roman" w:hint="eastAsia"/>
          <w:kern w:val="0"/>
          <w:sz w:val="20"/>
          <w:szCs w:val="20"/>
        </w:rPr>
        <w:t>can be</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ignored</w:t>
      </w:r>
      <w:r>
        <w:rPr>
          <w:rFonts w:ascii="Times New Roman" w:hAnsi="Times New Roman" w:cs="Times New Roman"/>
          <w:kern w:val="0"/>
          <w:sz w:val="20"/>
          <w:szCs w:val="20"/>
        </w:rPr>
        <w:t>.</w:t>
      </w:r>
      <w:r>
        <w:rPr>
          <w:rFonts w:ascii="Times New Roman" w:hAnsi="Times New Roman" w:cs="Times New Roman" w:hint="eastAsia"/>
          <w:kern w:val="0"/>
          <w:sz w:val="20"/>
          <w:szCs w:val="20"/>
        </w:rPr>
        <w:t xml:space="preserve"> Therefore,</w:t>
      </w:r>
      <w:r>
        <w:rPr>
          <w:rFonts w:ascii="Times New Roman" w:hAnsi="Times New Roman" w:cs="Times New Roman"/>
          <w:kern w:val="0"/>
          <w:sz w:val="20"/>
          <w:szCs w:val="20"/>
        </w:rPr>
        <w:t xml:space="preserve"> the enhancement is </w:t>
      </w:r>
      <w:r>
        <w:rPr>
          <w:rFonts w:ascii="Times New Roman" w:hAnsi="Times New Roman" w:cs="Times New Roman" w:hint="eastAsia"/>
          <w:kern w:val="0"/>
          <w:sz w:val="20"/>
          <w:szCs w:val="20"/>
        </w:rPr>
        <w:t xml:space="preserve">to </w:t>
      </w:r>
      <w:r>
        <w:rPr>
          <w:rFonts w:ascii="Times New Roman" w:hAnsi="Times New Roman" w:cs="Times New Roman"/>
          <w:kern w:val="0"/>
          <w:sz w:val="20"/>
          <w:szCs w:val="20"/>
        </w:rPr>
        <w:t>info</w:t>
      </w:r>
      <w:r>
        <w:rPr>
          <w:rFonts w:ascii="Times New Roman" w:hAnsi="Times New Roman" w:cs="Times New Roman" w:hint="eastAsia"/>
          <w:kern w:val="0"/>
          <w:sz w:val="20"/>
          <w:szCs w:val="20"/>
        </w:rPr>
        <w:t>r</w:t>
      </w:r>
      <w:r>
        <w:rPr>
          <w:rFonts w:ascii="Times New Roman" w:hAnsi="Times New Roman" w:cs="Times New Roman"/>
          <w:kern w:val="0"/>
          <w:sz w:val="20"/>
          <w:szCs w:val="20"/>
        </w:rPr>
        <w:t>m UE</w:t>
      </w:r>
      <w:r>
        <w:rPr>
          <w:rFonts w:ascii="Times New Roman" w:hAnsi="Times New Roman" w:cs="Times New Roman" w:hint="eastAsia"/>
          <w:kern w:val="0"/>
          <w:sz w:val="20"/>
          <w:szCs w:val="20"/>
        </w:rPr>
        <w:t>s</w:t>
      </w:r>
      <w:r>
        <w:rPr>
          <w:rFonts w:ascii="Times New Roman" w:hAnsi="Times New Roman" w:cs="Times New Roman"/>
          <w:kern w:val="0"/>
          <w:sz w:val="20"/>
          <w:szCs w:val="20"/>
        </w:rPr>
        <w:t xml:space="preserve"> with </w:t>
      </w:r>
      <w:r>
        <w:rPr>
          <w:rFonts w:ascii="Times New Roman" w:hAnsi="Times New Roman" w:cs="Times New Roman" w:hint="eastAsia"/>
          <w:kern w:val="0"/>
          <w:sz w:val="20"/>
          <w:szCs w:val="20"/>
        </w:rPr>
        <w:t xml:space="preserve">an </w:t>
      </w:r>
      <w:r>
        <w:rPr>
          <w:rFonts w:ascii="Times New Roman" w:hAnsi="Times New Roman" w:cs="Times New Roman"/>
          <w:kern w:val="0"/>
          <w:sz w:val="20"/>
          <w:szCs w:val="20"/>
        </w:rPr>
        <w:t>implicit indication</w:t>
      </w:r>
      <w:r>
        <w:rPr>
          <w:rFonts w:ascii="Times New Roman" w:hAnsi="Times New Roman" w:cs="Times New Roman" w:hint="eastAsia"/>
          <w:kern w:val="0"/>
          <w:sz w:val="20"/>
          <w:szCs w:val="20"/>
        </w:rPr>
        <w:t xml:space="preserve"> by </w:t>
      </w:r>
      <w:r>
        <w:rPr>
          <w:rFonts w:ascii="Times New Roman" w:hAnsi="Times New Roman" w:cs="Times New Roman"/>
          <w:kern w:val="0"/>
          <w:sz w:val="20"/>
          <w:szCs w:val="20"/>
        </w:rPr>
        <w:t>modif</w:t>
      </w:r>
      <w:r>
        <w:rPr>
          <w:rFonts w:ascii="Times New Roman" w:hAnsi="Times New Roman" w:cs="Times New Roman" w:hint="eastAsia"/>
          <w:kern w:val="0"/>
          <w:sz w:val="20"/>
          <w:szCs w:val="20"/>
        </w:rPr>
        <w:t>ying</w:t>
      </w:r>
      <w:r>
        <w:rPr>
          <w:rFonts w:ascii="Times New Roman" w:hAnsi="Times New Roman" w:cs="Times New Roman"/>
          <w:kern w:val="0"/>
          <w:sz w:val="20"/>
          <w:szCs w:val="20"/>
        </w:rPr>
        <w:t xml:space="preserve"> the field description of the event/condEvent D1 and D2 with a clarification.</w:t>
      </w:r>
      <w:r>
        <w:rPr>
          <w:rFonts w:ascii="Times New Roman" w:hAnsi="Times New Roman" w:cs="Times New Roman" w:hint="eastAsia"/>
          <w:kern w:val="0"/>
          <w:sz w:val="20"/>
          <w:szCs w:val="20"/>
        </w:rPr>
        <w:t xml:space="preserve"> For example, add a </w:t>
      </w:r>
      <w:bookmarkStart w:id="14" w:name="OLE_LINK38"/>
      <w:r>
        <w:rPr>
          <w:rFonts w:ascii="Times New Roman" w:hAnsi="Times New Roman" w:cs="Times New Roman" w:hint="eastAsia"/>
          <w:kern w:val="0"/>
          <w:sz w:val="20"/>
          <w:szCs w:val="20"/>
        </w:rPr>
        <w:t xml:space="preserve">descriptions </w:t>
      </w:r>
      <w:bookmarkEnd w:id="14"/>
      <w:r>
        <w:rPr>
          <w:rFonts w:ascii="Times New Roman" w:hAnsi="Times New Roman" w:cs="Times New Roman" w:hint="eastAsia"/>
          <w:kern w:val="0"/>
          <w:sz w:val="20"/>
          <w:szCs w:val="20"/>
        </w:rPr>
        <w:t xml:space="preserve">for </w:t>
      </w:r>
      <w:r>
        <w:rPr>
          <w:rFonts w:ascii="Times New Roman" w:hAnsi="Times New Roman" w:cs="Times New Roman"/>
          <w:kern w:val="0"/>
          <w:sz w:val="20"/>
          <w:szCs w:val="20"/>
        </w:rPr>
        <w:t>distanceThreshFromReference1</w:t>
      </w:r>
      <w:r>
        <w:rPr>
          <w:rFonts w:ascii="Times New Roman" w:hAnsi="Times New Roman" w:cs="Times New Roman" w:hint="eastAsia"/>
          <w:kern w:val="0"/>
          <w:sz w:val="20"/>
          <w:szCs w:val="20"/>
        </w:rPr>
        <w:t xml:space="preserve"> stating </w:t>
      </w:r>
      <w:r>
        <w:rPr>
          <w:rFonts w:ascii="Times New Roman" w:hAnsi="Times New Roman" w:cs="Times New Roman"/>
          <w:kern w:val="0"/>
          <w:sz w:val="20"/>
          <w:szCs w:val="20"/>
        </w:rPr>
        <w:t>“</w:t>
      </w:r>
      <w:r>
        <w:rPr>
          <w:rFonts w:ascii="Times New Roman" w:hAnsi="Times New Roman" w:cs="Times New Roman" w:hint="eastAsia"/>
          <w:kern w:val="0"/>
          <w:sz w:val="20"/>
          <w:szCs w:val="20"/>
        </w:rPr>
        <w:t xml:space="preserve">In NTN scenarios, when distanceThreshFromReference1 for eventD1/D2 is configured as 1, or when </w:t>
      </w:r>
      <w:r>
        <w:rPr>
          <w:rFonts w:ascii="Times New Roman" w:hAnsi="Times New Roman" w:cs="Times New Roman" w:hint="eastAsia"/>
          <w:kern w:val="0"/>
          <w:sz w:val="20"/>
          <w:szCs w:val="20"/>
          <w:lang w:bidi="ar"/>
        </w:rPr>
        <w:t xml:space="preserve">distanceThreshFromReference1 for condEventD1/D2 is configured as 0, the UE </w:t>
      </w:r>
      <w:bookmarkStart w:id="15" w:name="OLE_LINK31"/>
      <w:r>
        <w:rPr>
          <w:rFonts w:ascii="Times New Roman" w:hAnsi="Times New Roman" w:cs="Times New Roman" w:hint="eastAsia"/>
          <w:kern w:val="0"/>
          <w:sz w:val="20"/>
          <w:szCs w:val="20"/>
          <w:lang w:bidi="ar"/>
        </w:rPr>
        <w:t>invalidate serving cell related configuration information and triggers MR reporting based on the neighbour cell</w:t>
      </w:r>
      <w:bookmarkEnd w:id="15"/>
      <w:r>
        <w:rPr>
          <w:rFonts w:ascii="Times New Roman" w:hAnsi="Times New Roman" w:cs="Times New Roman"/>
          <w:kern w:val="0"/>
          <w:sz w:val="20"/>
          <w:szCs w:val="20"/>
          <w:lang w:bidi="ar"/>
        </w:rPr>
        <w:t>’</w:t>
      </w:r>
      <w:r>
        <w:rPr>
          <w:rFonts w:ascii="Times New Roman" w:hAnsi="Times New Roman" w:cs="Times New Roman" w:hint="eastAsia"/>
          <w:kern w:val="0"/>
          <w:sz w:val="20"/>
          <w:szCs w:val="20"/>
          <w:lang w:bidi="ar"/>
        </w:rPr>
        <w:t>s configuration only.</w:t>
      </w:r>
      <w:r>
        <w:rPr>
          <w:rFonts w:ascii="Times New Roman" w:hAnsi="Times New Roman" w:cs="Times New Roman"/>
          <w:kern w:val="0"/>
          <w:sz w:val="20"/>
          <w:szCs w:val="20"/>
          <w:lang w:bidi="ar"/>
        </w:rPr>
        <w:t>”</w:t>
      </w:r>
      <w:r>
        <w:rPr>
          <w:rFonts w:ascii="Times New Roman" w:hAnsi="Times New Roman" w:cs="Times New Roman" w:hint="eastAsia"/>
          <w:kern w:val="0"/>
          <w:sz w:val="20"/>
          <w:szCs w:val="20"/>
          <w:lang w:bidi="ar"/>
        </w:rPr>
        <w:t xml:space="preserve"> This serves as an implicit indication to inform the UE to </w:t>
      </w:r>
      <w:r>
        <w:rPr>
          <w:rFonts w:ascii="Times New Roman" w:hAnsi="Times New Roman" w:cs="Times New Roman" w:hint="eastAsia"/>
          <w:kern w:val="0"/>
          <w:sz w:val="20"/>
          <w:szCs w:val="20"/>
        </w:rPr>
        <w:t>ignore the reference location of the serving cell</w:t>
      </w:r>
      <w:r>
        <w:rPr>
          <w:rFonts w:ascii="Times New Roman" w:hAnsi="Times New Roman" w:cs="Times New Roman" w:hint="eastAsia"/>
          <w:kern w:val="0"/>
          <w:sz w:val="20"/>
          <w:szCs w:val="20"/>
          <w:lang w:bidi="ar"/>
        </w:rPr>
        <w:t xml:space="preserve">. </w:t>
      </w:r>
    </w:p>
    <w:p w14:paraId="38A15D36" w14:textId="77777777" w:rsidR="008560D0" w:rsidRDefault="00000000">
      <w:pPr>
        <w:spacing w:after="180"/>
        <w:rPr>
          <w:rFonts w:ascii="Times New Roman" w:hAnsi="Times New Roman" w:cs="Times New Roman"/>
          <w:b/>
          <w:bCs/>
          <w:kern w:val="0"/>
          <w:sz w:val="20"/>
          <w:szCs w:val="20"/>
        </w:rPr>
      </w:pPr>
      <w:bookmarkStart w:id="16" w:name="OLE_LINK41"/>
      <w:r>
        <w:rPr>
          <w:rFonts w:ascii="Times New Roman" w:hAnsi="Times New Roman" w:cs="Times New Roman"/>
          <w:b/>
          <w:bCs/>
          <w:kern w:val="0"/>
          <w:sz w:val="20"/>
          <w:szCs w:val="20"/>
        </w:rPr>
        <w:t xml:space="preserve">Proposal </w:t>
      </w:r>
      <w:r>
        <w:rPr>
          <w:rFonts w:ascii="Times New Roman" w:hAnsi="Times New Roman" w:cs="Times New Roman" w:hint="eastAsia"/>
          <w:b/>
          <w:bCs/>
          <w:kern w:val="0"/>
          <w:sz w:val="20"/>
          <w:szCs w:val="20"/>
        </w:rPr>
        <w:t>1</w:t>
      </w:r>
      <w:r>
        <w:rPr>
          <w:rFonts w:ascii="Times New Roman" w:hAnsi="Times New Roman" w:cs="Times New Roman"/>
          <w:b/>
          <w:bCs/>
          <w:kern w:val="0"/>
          <w:sz w:val="20"/>
          <w:szCs w:val="20"/>
        </w:rPr>
        <w:t xml:space="preserve">: RAN2 </w:t>
      </w:r>
      <w:r>
        <w:rPr>
          <w:rFonts w:ascii="Times New Roman" w:hAnsi="Times New Roman" w:cs="Times New Roman" w:hint="eastAsia"/>
          <w:b/>
          <w:bCs/>
          <w:kern w:val="0"/>
          <w:sz w:val="20"/>
          <w:szCs w:val="20"/>
        </w:rPr>
        <w:t>should</w:t>
      </w:r>
      <w:r>
        <w:rPr>
          <w:rFonts w:ascii="Times New Roman" w:hAnsi="Times New Roman" w:cs="Times New Roman"/>
          <w:b/>
          <w:bCs/>
          <w:kern w:val="0"/>
          <w:sz w:val="20"/>
          <w:szCs w:val="20"/>
        </w:rPr>
        <w:t xml:space="preserve"> consider defining new event/condEvent</w:t>
      </w:r>
      <w:r>
        <w:rPr>
          <w:rFonts w:ascii="Times New Roman" w:hAnsi="Times New Roman" w:cs="Times New Roman" w:hint="eastAsia"/>
          <w:b/>
          <w:bCs/>
          <w:kern w:val="0"/>
          <w:sz w:val="20"/>
          <w:szCs w:val="20"/>
        </w:rPr>
        <w:t xml:space="preserve"> D3 and D4</w:t>
      </w:r>
      <w:r>
        <w:rPr>
          <w:rFonts w:ascii="Times New Roman" w:hAnsi="Times New Roman" w:cs="Times New Roman"/>
          <w:b/>
          <w:bCs/>
          <w:kern w:val="0"/>
          <w:sz w:val="20"/>
          <w:szCs w:val="20"/>
        </w:rPr>
        <w:t xml:space="preserve"> or enhancing the </w:t>
      </w:r>
      <w:r>
        <w:rPr>
          <w:rFonts w:ascii="Times New Roman" w:hAnsi="Times New Roman" w:cs="Times New Roman" w:hint="eastAsia"/>
          <w:b/>
          <w:bCs/>
          <w:kern w:val="0"/>
          <w:sz w:val="20"/>
          <w:szCs w:val="20"/>
        </w:rPr>
        <w:t>existing</w:t>
      </w:r>
      <w:r>
        <w:rPr>
          <w:rFonts w:ascii="Times New Roman" w:hAnsi="Times New Roman" w:cs="Times New Roman"/>
          <w:b/>
          <w:bCs/>
          <w:kern w:val="0"/>
          <w:sz w:val="20"/>
          <w:szCs w:val="20"/>
        </w:rPr>
        <w:t xml:space="preserve"> event/condEvent</w:t>
      </w:r>
      <w:r>
        <w:rPr>
          <w:rFonts w:ascii="Times New Roman" w:hAnsi="Times New Roman" w:cs="Times New Roman" w:hint="eastAsia"/>
          <w:b/>
          <w:bCs/>
          <w:kern w:val="0"/>
          <w:sz w:val="20"/>
          <w:szCs w:val="20"/>
        </w:rPr>
        <w:t xml:space="preserve"> D1 and D2 </w:t>
      </w:r>
      <w:r>
        <w:rPr>
          <w:rFonts w:ascii="Times New Roman" w:hAnsi="Times New Roman" w:cs="Times New Roman"/>
          <w:b/>
          <w:bCs/>
          <w:kern w:val="0"/>
          <w:sz w:val="20"/>
          <w:szCs w:val="20"/>
        </w:rPr>
        <w:t>for inter-frequency overlapping coverage in NR NTN</w:t>
      </w:r>
      <w:r>
        <w:rPr>
          <w:rFonts w:ascii="Times New Roman" w:hAnsi="Times New Roman" w:cs="Times New Roman" w:hint="eastAsia"/>
          <w:b/>
          <w:bCs/>
          <w:kern w:val="0"/>
          <w:sz w:val="20"/>
          <w:szCs w:val="20"/>
        </w:rPr>
        <w:t xml:space="preserve"> in R19: </w:t>
      </w:r>
    </w:p>
    <w:p w14:paraId="3262BFAC" w14:textId="77777777" w:rsidR="008560D0" w:rsidRDefault="00000000">
      <w:pPr>
        <w:pStyle w:val="affff6"/>
        <w:numPr>
          <w:ilvl w:val="0"/>
          <w:numId w:val="20"/>
        </w:numPr>
        <w:spacing w:after="180"/>
        <w:rPr>
          <w:rFonts w:ascii="Times New Roman" w:hAnsi="Times New Roman" w:cs="Times New Roman"/>
          <w:b/>
          <w:bCs/>
          <w:kern w:val="0"/>
          <w:sz w:val="20"/>
          <w:szCs w:val="20"/>
          <w:lang w:val="en-US"/>
        </w:rPr>
      </w:pPr>
      <w:r>
        <w:rPr>
          <w:rFonts w:ascii="Times New Roman" w:hAnsi="Times New Roman" w:cs="Times New Roman"/>
          <w:b/>
          <w:bCs/>
          <w:kern w:val="0"/>
          <w:sz w:val="20"/>
          <w:szCs w:val="20"/>
          <w:lang w:val="en-US"/>
        </w:rPr>
        <w:t>event/condEvent D3 and D4: utilize a single referenceLocation and distanceThreshFromReference</w:t>
      </w:r>
      <w:r>
        <w:rPr>
          <w:rFonts w:ascii="Times New Roman" w:eastAsiaTheme="minorEastAsia" w:hAnsi="Times New Roman" w:cs="Times New Roman" w:hint="eastAsia"/>
          <w:b/>
          <w:bCs/>
          <w:kern w:val="0"/>
          <w:sz w:val="20"/>
          <w:szCs w:val="20"/>
          <w:lang w:val="en-US"/>
        </w:rPr>
        <w:t xml:space="preserve">, and </w:t>
      </w:r>
      <w:r>
        <w:rPr>
          <w:rFonts w:ascii="Times New Roman" w:hAnsi="Times New Roman" w:cs="Times New Roman"/>
          <w:b/>
          <w:bCs/>
          <w:kern w:val="0"/>
          <w:sz w:val="20"/>
          <w:szCs w:val="20"/>
          <w:lang w:val="en-US"/>
        </w:rPr>
        <w:t>align with event</w:t>
      </w:r>
      <w:r>
        <w:rPr>
          <w:rFonts w:ascii="Times New Roman" w:eastAsiaTheme="minorEastAsia" w:hAnsi="Times New Roman" w:cs="Times New Roman" w:hint="eastAsia"/>
          <w:b/>
          <w:bCs/>
          <w:kern w:val="0"/>
          <w:sz w:val="20"/>
          <w:szCs w:val="20"/>
          <w:lang w:val="en-US"/>
        </w:rPr>
        <w:t xml:space="preserve"> </w:t>
      </w:r>
      <w:r>
        <w:rPr>
          <w:rFonts w:ascii="Times New Roman" w:hAnsi="Times New Roman" w:cs="Times New Roman"/>
          <w:b/>
          <w:bCs/>
          <w:kern w:val="0"/>
          <w:sz w:val="20"/>
          <w:szCs w:val="20"/>
          <w:lang w:val="en-US"/>
        </w:rPr>
        <w:t>A4 in TN</w:t>
      </w:r>
      <w:r>
        <w:rPr>
          <w:rFonts w:ascii="Times New Roman" w:eastAsiaTheme="minorEastAsia" w:hAnsi="Times New Roman" w:cs="Times New Roman" w:hint="eastAsia"/>
          <w:b/>
          <w:bCs/>
          <w:kern w:val="0"/>
          <w:sz w:val="20"/>
          <w:szCs w:val="20"/>
          <w:lang w:val="en-US"/>
        </w:rPr>
        <w:t>.</w:t>
      </w:r>
    </w:p>
    <w:p w14:paraId="5DB1E498" w14:textId="77777777" w:rsidR="008560D0" w:rsidRDefault="00000000">
      <w:pPr>
        <w:pStyle w:val="affff6"/>
        <w:numPr>
          <w:ilvl w:val="0"/>
          <w:numId w:val="20"/>
        </w:numPr>
        <w:spacing w:after="180"/>
        <w:rPr>
          <w:rFonts w:ascii="Times New Roman" w:hAnsi="Times New Roman" w:cs="Times New Roman"/>
          <w:b/>
          <w:bCs/>
          <w:kern w:val="0"/>
          <w:sz w:val="20"/>
          <w:szCs w:val="20"/>
          <w:lang w:val="en-US"/>
        </w:rPr>
      </w:pPr>
      <w:r>
        <w:rPr>
          <w:rFonts w:ascii="Times New Roman" w:hAnsi="Times New Roman" w:cs="Times New Roman"/>
          <w:b/>
          <w:bCs/>
          <w:kern w:val="0"/>
          <w:sz w:val="20"/>
          <w:szCs w:val="20"/>
          <w:lang w:val="en-US"/>
        </w:rPr>
        <w:t>event/condEvent D1 and D2</w:t>
      </w:r>
      <w:r>
        <w:rPr>
          <w:rFonts w:ascii="Times New Roman" w:eastAsiaTheme="minorEastAsia" w:hAnsi="Times New Roman" w:cs="Times New Roman" w:hint="eastAsia"/>
          <w:b/>
          <w:bCs/>
          <w:kern w:val="0"/>
          <w:sz w:val="20"/>
          <w:szCs w:val="20"/>
          <w:lang w:val="en-US"/>
        </w:rPr>
        <w:t xml:space="preserve"> enhancement</w:t>
      </w:r>
      <w:r>
        <w:rPr>
          <w:rFonts w:ascii="Times New Roman" w:hAnsi="Times New Roman" w:cs="Times New Roman"/>
          <w:b/>
          <w:bCs/>
          <w:kern w:val="0"/>
          <w:sz w:val="20"/>
          <w:szCs w:val="20"/>
          <w:lang w:val="en-US"/>
        </w:rPr>
        <w:t xml:space="preserve">: inform UE with </w:t>
      </w:r>
      <w:r>
        <w:rPr>
          <w:rFonts w:ascii="Times New Roman" w:eastAsiaTheme="minorEastAsia" w:hAnsi="Times New Roman" w:cs="Times New Roman" w:hint="eastAsia"/>
          <w:b/>
          <w:bCs/>
          <w:kern w:val="0"/>
          <w:sz w:val="20"/>
          <w:szCs w:val="20"/>
          <w:lang w:val="en-US"/>
        </w:rPr>
        <w:t xml:space="preserve">an </w:t>
      </w:r>
      <w:r>
        <w:rPr>
          <w:rFonts w:ascii="Times New Roman" w:hAnsi="Times New Roman" w:cs="Times New Roman"/>
          <w:b/>
          <w:bCs/>
          <w:kern w:val="0"/>
          <w:sz w:val="20"/>
          <w:szCs w:val="20"/>
          <w:lang w:val="en-US"/>
        </w:rPr>
        <w:t xml:space="preserve">implicit indication: </w:t>
      </w:r>
      <w:r>
        <w:rPr>
          <w:rFonts w:ascii="Times New Roman" w:eastAsiaTheme="minorEastAsia" w:hAnsi="Times New Roman" w:cs="Times New Roman"/>
          <w:b/>
          <w:bCs/>
          <w:kern w:val="0"/>
          <w:sz w:val="20"/>
          <w:szCs w:val="20"/>
          <w:lang w:val="en-US"/>
        </w:rPr>
        <w:t>“In NTN scenarios, when distanceThreshFromReference1 for eventD1/D2 is configured as 1, or when distanceThreshFromReference1 for condEventD1/D2 is configured as 0, the UE</w:t>
      </w:r>
      <w:r>
        <w:rPr>
          <w:rFonts w:ascii="Times New Roman" w:eastAsiaTheme="minorEastAsia" w:hAnsi="Times New Roman" w:cs="Times New Roman" w:hint="eastAsia"/>
          <w:b/>
          <w:bCs/>
          <w:kern w:val="0"/>
          <w:sz w:val="20"/>
          <w:szCs w:val="20"/>
          <w:lang w:val="en-US"/>
        </w:rPr>
        <w:t xml:space="preserve"> shall</w:t>
      </w:r>
      <w:r>
        <w:rPr>
          <w:rFonts w:ascii="Times New Roman" w:eastAsiaTheme="minorEastAsia" w:hAnsi="Times New Roman" w:cs="Times New Roman"/>
          <w:b/>
          <w:bCs/>
          <w:kern w:val="0"/>
          <w:sz w:val="20"/>
          <w:szCs w:val="20"/>
          <w:lang w:val="en-US"/>
        </w:rPr>
        <w:t xml:space="preserve"> invalidate serving cell related configuration information and trigger MR reporting based on the neighbour cell’s configuration only.”</w:t>
      </w:r>
    </w:p>
    <w:bookmarkEnd w:id="16"/>
    <w:p w14:paraId="0248B08F" w14:textId="77777777" w:rsidR="008560D0" w:rsidRDefault="00000000">
      <w:pPr>
        <w:tabs>
          <w:tab w:val="center" w:pos="4819"/>
        </w:tabs>
        <w:spacing w:after="180"/>
        <w:rPr>
          <w:rFonts w:ascii="Times New Roman" w:hAnsi="Times New Roman" w:cs="Times New Roman"/>
          <w:kern w:val="0"/>
          <w:sz w:val="20"/>
          <w:szCs w:val="20"/>
        </w:rPr>
      </w:pPr>
      <w:r>
        <w:rPr>
          <w:rFonts w:ascii="Times New Roman" w:hAnsi="Times New Roman" w:cs="Times New Roman"/>
          <w:kern w:val="0"/>
          <w:sz w:val="20"/>
          <w:szCs w:val="20"/>
        </w:rPr>
        <w:t>If RAN2 decides to</w:t>
      </w:r>
      <w:r>
        <w:rPr>
          <w:rFonts w:ascii="Times New Roman" w:hAnsi="Times New Roman" w:cs="Times New Roman" w:hint="eastAsia"/>
          <w:kern w:val="0"/>
          <w:sz w:val="20"/>
          <w:szCs w:val="20"/>
        </w:rPr>
        <w:t xml:space="preserve"> introduce the</w:t>
      </w:r>
      <w:r>
        <w:rPr>
          <w:rFonts w:ascii="Times New Roman" w:hAnsi="Times New Roman" w:cs="Times New Roman"/>
          <w:kern w:val="0"/>
          <w:sz w:val="20"/>
          <w:szCs w:val="20"/>
        </w:rPr>
        <w:t xml:space="preserve"> enhancement of measurement events for inter-frequency overlapping coverage in R19, RAN2 </w:t>
      </w:r>
      <w:r>
        <w:rPr>
          <w:rFonts w:ascii="Times New Roman" w:hAnsi="Times New Roman" w:cs="Times New Roman" w:hint="eastAsia"/>
          <w:kern w:val="0"/>
          <w:sz w:val="20"/>
          <w:szCs w:val="20"/>
        </w:rPr>
        <w:t>should</w:t>
      </w:r>
      <w:r>
        <w:rPr>
          <w:rFonts w:ascii="Times New Roman" w:hAnsi="Times New Roman" w:cs="Times New Roman"/>
          <w:kern w:val="0"/>
          <w:sz w:val="20"/>
          <w:szCs w:val="20"/>
        </w:rPr>
        <w:t xml:space="preserve"> discuss whether it can also be applied in the early release</w:t>
      </w:r>
      <w:r>
        <w:rPr>
          <w:rFonts w:ascii="Times New Roman" w:hAnsi="Times New Roman" w:cs="Times New Roman" w:hint="eastAsia"/>
          <w:kern w:val="0"/>
          <w:sz w:val="20"/>
          <w:szCs w:val="20"/>
        </w:rPr>
        <w:t>s</w:t>
      </w:r>
      <w:r>
        <w:rPr>
          <w:rFonts w:ascii="Times New Roman" w:hAnsi="Times New Roman" w:cs="Times New Roman"/>
          <w:kern w:val="0"/>
          <w:sz w:val="20"/>
          <w:szCs w:val="20"/>
        </w:rPr>
        <w:t xml:space="preserve"> (i.e.</w:t>
      </w:r>
      <w:r>
        <w:rPr>
          <w:rFonts w:ascii="Times New Roman" w:hAnsi="Times New Roman" w:cs="Times New Roman" w:hint="eastAsia"/>
          <w:kern w:val="0"/>
          <w:sz w:val="20"/>
          <w:szCs w:val="20"/>
        </w:rPr>
        <w:t>,</w:t>
      </w:r>
      <w:r>
        <w:rPr>
          <w:rFonts w:ascii="Times New Roman" w:hAnsi="Times New Roman" w:cs="Times New Roman"/>
          <w:kern w:val="0"/>
          <w:sz w:val="20"/>
          <w:szCs w:val="20"/>
        </w:rPr>
        <w:t xml:space="preserve"> R17 and R18). </w:t>
      </w:r>
    </w:p>
    <w:p w14:paraId="1E2F51B0" w14:textId="77777777" w:rsidR="008560D0" w:rsidRDefault="00000000">
      <w:pPr>
        <w:spacing w:after="180"/>
        <w:rPr>
          <w:rFonts w:ascii="Times New Roman" w:hAnsi="Times New Roman" w:cs="Times New Roman"/>
          <w:b/>
          <w:bCs/>
          <w:kern w:val="0"/>
          <w:sz w:val="20"/>
          <w:szCs w:val="20"/>
        </w:rPr>
      </w:pPr>
      <w:bookmarkStart w:id="17" w:name="OLE_LINK42"/>
      <w:r>
        <w:rPr>
          <w:rFonts w:ascii="Times New Roman" w:hAnsi="Times New Roman" w:cs="Times New Roman"/>
          <w:b/>
          <w:bCs/>
          <w:kern w:val="0"/>
          <w:sz w:val="20"/>
          <w:szCs w:val="20"/>
        </w:rPr>
        <w:t>Proposal 2: R</w:t>
      </w:r>
      <w:r>
        <w:rPr>
          <w:rFonts w:ascii="Times New Roman" w:hAnsi="Times New Roman" w:cs="Times New Roman" w:hint="eastAsia"/>
          <w:b/>
          <w:bCs/>
          <w:kern w:val="0"/>
          <w:sz w:val="20"/>
          <w:szCs w:val="20"/>
        </w:rPr>
        <w:t xml:space="preserve">AN2 should discuss whether it can also be applied in the early </w:t>
      </w:r>
      <w:r>
        <w:rPr>
          <w:rFonts w:ascii="Times New Roman" w:hAnsi="Times New Roman" w:cs="Times New Roman"/>
          <w:b/>
          <w:bCs/>
          <w:kern w:val="0"/>
          <w:sz w:val="20"/>
          <w:szCs w:val="20"/>
        </w:rPr>
        <w:t>releas</w:t>
      </w:r>
      <w:r>
        <w:rPr>
          <w:rFonts w:ascii="Times New Roman" w:hAnsi="Times New Roman" w:cs="Times New Roman" w:hint="eastAsia"/>
          <w:b/>
          <w:bCs/>
          <w:kern w:val="0"/>
          <w:sz w:val="20"/>
          <w:szCs w:val="20"/>
        </w:rPr>
        <w:t xml:space="preserve">es (i.e. R17 and R18). </w:t>
      </w:r>
    </w:p>
    <w:bookmarkEnd w:id="2"/>
    <w:bookmarkEnd w:id="17"/>
    <w:p w14:paraId="128EB49F" w14:textId="77777777" w:rsidR="008560D0" w:rsidRDefault="00000000">
      <w:pPr>
        <w:pStyle w:val="1"/>
        <w:spacing w:before="180"/>
        <w:ind w:left="850" w:hangingChars="236" w:hanging="850"/>
        <w:jc w:val="both"/>
      </w:pPr>
      <w:r>
        <w:t>Conclusion</w:t>
      </w:r>
      <w:r>
        <w:rPr>
          <w:rFonts w:hint="eastAsia"/>
          <w:lang w:val="en-US" w:eastAsia="zh-CN"/>
        </w:rPr>
        <w:t>s</w:t>
      </w:r>
    </w:p>
    <w:p w14:paraId="07B3E206" w14:textId="77777777" w:rsidR="008560D0" w:rsidRDefault="00000000">
      <w:pPr>
        <w:tabs>
          <w:tab w:val="center" w:pos="4819"/>
        </w:tabs>
        <w:spacing w:after="180"/>
        <w:rPr>
          <w:rFonts w:ascii="Times New Roman" w:hAnsi="Times New Roman" w:cs="Times New Roman"/>
          <w:bCs/>
          <w:kern w:val="0"/>
          <w:sz w:val="20"/>
          <w:szCs w:val="20"/>
        </w:rPr>
      </w:pPr>
      <w:r>
        <w:rPr>
          <w:rFonts w:ascii="Times New Roman" w:hAnsi="Times New Roman" w:cs="Times New Roman"/>
          <w:bCs/>
          <w:kern w:val="0"/>
          <w:sz w:val="20"/>
          <w:szCs w:val="20"/>
        </w:rPr>
        <w:t>Based on above analyses,</w:t>
      </w:r>
      <w:r>
        <w:rPr>
          <w:rFonts w:ascii="Times New Roman" w:hAnsi="Times New Roman" w:cs="Times New Roman" w:hint="eastAsia"/>
          <w:bCs/>
          <w:kern w:val="0"/>
          <w:sz w:val="20"/>
          <w:szCs w:val="20"/>
        </w:rPr>
        <w:t xml:space="preserve"> observations and</w:t>
      </w:r>
      <w:r>
        <w:rPr>
          <w:rFonts w:ascii="Times New Roman" w:hAnsi="Times New Roman" w:cs="Times New Roman"/>
          <w:bCs/>
          <w:kern w:val="0"/>
          <w:sz w:val="20"/>
          <w:szCs w:val="20"/>
        </w:rPr>
        <w:t xml:space="preserve"> proposals are summarized as follows.</w:t>
      </w:r>
    </w:p>
    <w:p w14:paraId="41915555" w14:textId="77777777" w:rsidR="008560D0" w:rsidRDefault="00000000">
      <w:pPr>
        <w:tabs>
          <w:tab w:val="center" w:pos="4819"/>
        </w:tabs>
        <w:spacing w:after="180"/>
        <w:rPr>
          <w:rFonts w:ascii="Times New Roman" w:hAnsi="Times New Roman" w:cs="Times New Roman"/>
          <w:b/>
          <w:bCs/>
          <w:kern w:val="0"/>
          <w:sz w:val="20"/>
          <w:szCs w:val="20"/>
        </w:rPr>
      </w:pPr>
      <w:r>
        <w:rPr>
          <w:rFonts w:ascii="Times New Roman" w:hAnsi="Times New Roman" w:cs="Times New Roman" w:hint="eastAsia"/>
          <w:b/>
          <w:bCs/>
          <w:kern w:val="0"/>
          <w:sz w:val="20"/>
          <w:szCs w:val="20"/>
        </w:rPr>
        <w:t xml:space="preserve">Observation 1: </w:t>
      </w:r>
      <w:r>
        <w:rPr>
          <w:rFonts w:ascii="Times New Roman" w:hAnsi="Times New Roman" w:cs="Times New Roman"/>
          <w:b/>
          <w:bCs/>
          <w:kern w:val="0"/>
          <w:sz w:val="20"/>
          <w:szCs w:val="20"/>
        </w:rPr>
        <w:t xml:space="preserve">For the inter-frequency overlapping coverage scenario, legacy events D1/D2 are not suitable </w:t>
      </w:r>
      <w:r>
        <w:rPr>
          <w:rFonts w:ascii="Times New Roman" w:hAnsi="Times New Roman" w:cs="Times New Roman" w:hint="eastAsia"/>
          <w:b/>
          <w:bCs/>
          <w:kern w:val="0"/>
          <w:sz w:val="20"/>
          <w:szCs w:val="20"/>
        </w:rPr>
        <w:t>because</w:t>
      </w:r>
      <w:r>
        <w:rPr>
          <w:rFonts w:ascii="Times New Roman" w:hAnsi="Times New Roman" w:cs="Times New Roman"/>
          <w:b/>
          <w:bCs/>
          <w:kern w:val="0"/>
          <w:sz w:val="20"/>
          <w:szCs w:val="20"/>
        </w:rPr>
        <w:t xml:space="preserve"> serving cell-related configuration may hinder the UE from switching to </w:t>
      </w:r>
      <w:r>
        <w:rPr>
          <w:rFonts w:ascii="Times New Roman" w:hAnsi="Times New Roman" w:cs="Times New Roman" w:hint="eastAsia"/>
          <w:b/>
          <w:bCs/>
          <w:kern w:val="0"/>
          <w:sz w:val="20"/>
          <w:szCs w:val="20"/>
        </w:rPr>
        <w:t xml:space="preserve">a </w:t>
      </w:r>
      <w:r>
        <w:rPr>
          <w:rFonts w:ascii="Times New Roman" w:hAnsi="Times New Roman" w:cs="Times New Roman"/>
          <w:b/>
          <w:bCs/>
          <w:kern w:val="0"/>
          <w:sz w:val="20"/>
          <w:szCs w:val="20"/>
        </w:rPr>
        <w:t>neighbor cell, especially for load balancing.</w:t>
      </w:r>
      <w:r>
        <w:rPr>
          <w:rFonts w:ascii="Times New Roman" w:hAnsi="Times New Roman" w:cs="Times New Roman" w:hint="eastAsia"/>
          <w:b/>
          <w:bCs/>
          <w:kern w:val="0"/>
          <w:sz w:val="20"/>
          <w:szCs w:val="20"/>
        </w:rPr>
        <w:t xml:space="preserve"> </w:t>
      </w:r>
    </w:p>
    <w:p w14:paraId="5062B396" w14:textId="77777777" w:rsidR="008560D0" w:rsidRDefault="00000000">
      <w:pPr>
        <w:tabs>
          <w:tab w:val="center" w:pos="4819"/>
        </w:tabs>
        <w:spacing w:after="180"/>
        <w:rPr>
          <w:rFonts w:ascii="Times New Roman" w:hAnsi="Times New Roman" w:cs="Times New Roman"/>
          <w:b/>
          <w:bCs/>
          <w:kern w:val="0"/>
          <w:sz w:val="20"/>
          <w:szCs w:val="20"/>
        </w:rPr>
      </w:pPr>
      <w:r>
        <w:rPr>
          <w:rFonts w:ascii="Times New Roman" w:hAnsi="Times New Roman" w:cs="Times New Roman" w:hint="eastAsia"/>
          <w:b/>
          <w:bCs/>
          <w:kern w:val="0"/>
          <w:sz w:val="20"/>
          <w:szCs w:val="20"/>
        </w:rPr>
        <w:t xml:space="preserve">Observation 2: </w:t>
      </w:r>
      <w:r>
        <w:rPr>
          <w:rFonts w:ascii="Times New Roman" w:hAnsi="Times New Roman" w:cs="Times New Roman"/>
          <w:b/>
          <w:bCs/>
          <w:kern w:val="0"/>
          <w:sz w:val="20"/>
          <w:szCs w:val="20"/>
        </w:rPr>
        <w:t xml:space="preserve">The new event D3/D4 mechanism is more straightforward and clearly defined, and it aligns with the legacy event A4 </w:t>
      </w:r>
      <w:r>
        <w:rPr>
          <w:rFonts w:ascii="Times New Roman" w:hAnsi="Times New Roman" w:cs="Times New Roman" w:hint="eastAsia"/>
          <w:b/>
          <w:bCs/>
          <w:kern w:val="0"/>
          <w:sz w:val="20"/>
          <w:szCs w:val="20"/>
        </w:rPr>
        <w:t>in TN</w:t>
      </w:r>
      <w:r>
        <w:rPr>
          <w:rFonts w:ascii="Times New Roman" w:hAnsi="Times New Roman" w:cs="Times New Roman"/>
          <w:b/>
          <w:bCs/>
          <w:kern w:val="0"/>
          <w:sz w:val="20"/>
          <w:szCs w:val="20"/>
        </w:rPr>
        <w:t>.</w:t>
      </w:r>
    </w:p>
    <w:p w14:paraId="6C7BFD99" w14:textId="77777777" w:rsidR="008560D0" w:rsidRDefault="00000000">
      <w:pPr>
        <w:spacing w:after="180"/>
        <w:rPr>
          <w:rFonts w:ascii="Times New Roman" w:hAnsi="Times New Roman" w:cs="Times New Roman"/>
          <w:b/>
          <w:bCs/>
          <w:kern w:val="0"/>
          <w:sz w:val="20"/>
          <w:szCs w:val="20"/>
        </w:rPr>
      </w:pPr>
      <w:r>
        <w:rPr>
          <w:rFonts w:ascii="Times New Roman" w:hAnsi="Times New Roman" w:cs="Times New Roman"/>
          <w:b/>
          <w:bCs/>
          <w:kern w:val="0"/>
          <w:sz w:val="20"/>
          <w:szCs w:val="20"/>
        </w:rPr>
        <w:t xml:space="preserve">Proposal </w:t>
      </w:r>
      <w:r>
        <w:rPr>
          <w:rFonts w:ascii="Times New Roman" w:hAnsi="Times New Roman" w:cs="Times New Roman" w:hint="eastAsia"/>
          <w:b/>
          <w:bCs/>
          <w:kern w:val="0"/>
          <w:sz w:val="20"/>
          <w:szCs w:val="20"/>
        </w:rPr>
        <w:t>1</w:t>
      </w:r>
      <w:r>
        <w:rPr>
          <w:rFonts w:ascii="Times New Roman" w:hAnsi="Times New Roman" w:cs="Times New Roman"/>
          <w:b/>
          <w:bCs/>
          <w:kern w:val="0"/>
          <w:sz w:val="20"/>
          <w:szCs w:val="20"/>
        </w:rPr>
        <w:t xml:space="preserve">: RAN2 </w:t>
      </w:r>
      <w:r>
        <w:rPr>
          <w:rFonts w:ascii="Times New Roman" w:hAnsi="Times New Roman" w:cs="Times New Roman" w:hint="eastAsia"/>
          <w:b/>
          <w:bCs/>
          <w:kern w:val="0"/>
          <w:sz w:val="20"/>
          <w:szCs w:val="20"/>
        </w:rPr>
        <w:t>should</w:t>
      </w:r>
      <w:r>
        <w:rPr>
          <w:rFonts w:ascii="Times New Roman" w:hAnsi="Times New Roman" w:cs="Times New Roman"/>
          <w:b/>
          <w:bCs/>
          <w:kern w:val="0"/>
          <w:sz w:val="20"/>
          <w:szCs w:val="20"/>
        </w:rPr>
        <w:t xml:space="preserve"> consider defining new event/condEvent</w:t>
      </w:r>
      <w:r>
        <w:rPr>
          <w:rFonts w:ascii="Times New Roman" w:hAnsi="Times New Roman" w:cs="Times New Roman" w:hint="eastAsia"/>
          <w:b/>
          <w:bCs/>
          <w:kern w:val="0"/>
          <w:sz w:val="20"/>
          <w:szCs w:val="20"/>
        </w:rPr>
        <w:t xml:space="preserve"> D3 and D4</w:t>
      </w:r>
      <w:r>
        <w:rPr>
          <w:rFonts w:ascii="Times New Roman" w:hAnsi="Times New Roman" w:cs="Times New Roman"/>
          <w:b/>
          <w:bCs/>
          <w:kern w:val="0"/>
          <w:sz w:val="20"/>
          <w:szCs w:val="20"/>
        </w:rPr>
        <w:t xml:space="preserve"> or enhancing the </w:t>
      </w:r>
      <w:r>
        <w:rPr>
          <w:rFonts w:ascii="Times New Roman" w:hAnsi="Times New Roman" w:cs="Times New Roman" w:hint="eastAsia"/>
          <w:b/>
          <w:bCs/>
          <w:kern w:val="0"/>
          <w:sz w:val="20"/>
          <w:szCs w:val="20"/>
        </w:rPr>
        <w:t>existing</w:t>
      </w:r>
      <w:r>
        <w:rPr>
          <w:rFonts w:ascii="Times New Roman" w:hAnsi="Times New Roman" w:cs="Times New Roman"/>
          <w:b/>
          <w:bCs/>
          <w:kern w:val="0"/>
          <w:sz w:val="20"/>
          <w:szCs w:val="20"/>
        </w:rPr>
        <w:t xml:space="preserve"> event/condEvent</w:t>
      </w:r>
      <w:r>
        <w:rPr>
          <w:rFonts w:ascii="Times New Roman" w:hAnsi="Times New Roman" w:cs="Times New Roman" w:hint="eastAsia"/>
          <w:b/>
          <w:bCs/>
          <w:kern w:val="0"/>
          <w:sz w:val="20"/>
          <w:szCs w:val="20"/>
        </w:rPr>
        <w:t xml:space="preserve"> D1 and D2 </w:t>
      </w:r>
      <w:r>
        <w:rPr>
          <w:rFonts w:ascii="Times New Roman" w:hAnsi="Times New Roman" w:cs="Times New Roman"/>
          <w:b/>
          <w:bCs/>
          <w:kern w:val="0"/>
          <w:sz w:val="20"/>
          <w:szCs w:val="20"/>
        </w:rPr>
        <w:t>for inter-frequency overlapping coverage in NR NTN</w:t>
      </w:r>
      <w:r>
        <w:rPr>
          <w:rFonts w:ascii="Times New Roman" w:hAnsi="Times New Roman" w:cs="Times New Roman" w:hint="eastAsia"/>
          <w:b/>
          <w:bCs/>
          <w:kern w:val="0"/>
          <w:sz w:val="20"/>
          <w:szCs w:val="20"/>
        </w:rPr>
        <w:t xml:space="preserve"> in R19: </w:t>
      </w:r>
    </w:p>
    <w:p w14:paraId="6BBCCD91" w14:textId="77777777" w:rsidR="008560D0" w:rsidRDefault="00000000">
      <w:pPr>
        <w:pStyle w:val="affff6"/>
        <w:numPr>
          <w:ilvl w:val="0"/>
          <w:numId w:val="20"/>
        </w:numPr>
        <w:spacing w:after="180"/>
        <w:rPr>
          <w:rFonts w:ascii="Times New Roman" w:hAnsi="Times New Roman" w:cs="Times New Roman"/>
          <w:b/>
          <w:bCs/>
          <w:kern w:val="0"/>
          <w:sz w:val="20"/>
          <w:szCs w:val="20"/>
          <w:lang w:val="en-US"/>
        </w:rPr>
      </w:pPr>
      <w:r>
        <w:rPr>
          <w:rFonts w:ascii="Times New Roman" w:hAnsi="Times New Roman" w:cs="Times New Roman"/>
          <w:b/>
          <w:bCs/>
          <w:kern w:val="0"/>
          <w:sz w:val="20"/>
          <w:szCs w:val="20"/>
          <w:lang w:val="en-US"/>
        </w:rPr>
        <w:t>event/condEvent D3 and D4: utilize a single referenceLocation and distanceThreshFromReference</w:t>
      </w:r>
      <w:r>
        <w:rPr>
          <w:rFonts w:ascii="Times New Roman" w:eastAsiaTheme="minorEastAsia" w:hAnsi="Times New Roman" w:cs="Times New Roman" w:hint="eastAsia"/>
          <w:b/>
          <w:bCs/>
          <w:kern w:val="0"/>
          <w:sz w:val="20"/>
          <w:szCs w:val="20"/>
          <w:lang w:val="en-US"/>
        </w:rPr>
        <w:t xml:space="preserve">, and </w:t>
      </w:r>
      <w:r>
        <w:rPr>
          <w:rFonts w:ascii="Times New Roman" w:hAnsi="Times New Roman" w:cs="Times New Roman"/>
          <w:b/>
          <w:bCs/>
          <w:kern w:val="0"/>
          <w:sz w:val="20"/>
          <w:szCs w:val="20"/>
          <w:lang w:val="en-US"/>
        </w:rPr>
        <w:t>align with event</w:t>
      </w:r>
      <w:r>
        <w:rPr>
          <w:rFonts w:ascii="Times New Roman" w:eastAsiaTheme="minorEastAsia" w:hAnsi="Times New Roman" w:cs="Times New Roman" w:hint="eastAsia"/>
          <w:b/>
          <w:bCs/>
          <w:kern w:val="0"/>
          <w:sz w:val="20"/>
          <w:szCs w:val="20"/>
          <w:lang w:val="en-US"/>
        </w:rPr>
        <w:t xml:space="preserve"> </w:t>
      </w:r>
      <w:r>
        <w:rPr>
          <w:rFonts w:ascii="Times New Roman" w:hAnsi="Times New Roman" w:cs="Times New Roman"/>
          <w:b/>
          <w:bCs/>
          <w:kern w:val="0"/>
          <w:sz w:val="20"/>
          <w:szCs w:val="20"/>
          <w:lang w:val="en-US"/>
        </w:rPr>
        <w:t>A4 in TN</w:t>
      </w:r>
      <w:r>
        <w:rPr>
          <w:rFonts w:ascii="Times New Roman" w:eastAsiaTheme="minorEastAsia" w:hAnsi="Times New Roman" w:cs="Times New Roman" w:hint="eastAsia"/>
          <w:b/>
          <w:bCs/>
          <w:kern w:val="0"/>
          <w:sz w:val="20"/>
          <w:szCs w:val="20"/>
          <w:lang w:val="en-US"/>
        </w:rPr>
        <w:t>.</w:t>
      </w:r>
    </w:p>
    <w:p w14:paraId="45271E99" w14:textId="77777777" w:rsidR="008560D0" w:rsidRDefault="00000000">
      <w:pPr>
        <w:pStyle w:val="affff6"/>
        <w:numPr>
          <w:ilvl w:val="0"/>
          <w:numId w:val="20"/>
        </w:numPr>
        <w:spacing w:after="180"/>
        <w:rPr>
          <w:rFonts w:ascii="Times New Roman" w:hAnsi="Times New Roman" w:cs="Times New Roman"/>
          <w:b/>
          <w:bCs/>
          <w:kern w:val="0"/>
          <w:sz w:val="20"/>
          <w:szCs w:val="20"/>
          <w:lang w:val="en-US"/>
        </w:rPr>
      </w:pPr>
      <w:r>
        <w:rPr>
          <w:rFonts w:ascii="Times New Roman" w:hAnsi="Times New Roman" w:cs="Times New Roman"/>
          <w:b/>
          <w:bCs/>
          <w:kern w:val="0"/>
          <w:sz w:val="20"/>
          <w:szCs w:val="20"/>
          <w:lang w:val="en-US"/>
        </w:rPr>
        <w:t>event/condEvent D1 and D2</w:t>
      </w:r>
      <w:r>
        <w:rPr>
          <w:rFonts w:ascii="Times New Roman" w:eastAsiaTheme="minorEastAsia" w:hAnsi="Times New Roman" w:cs="Times New Roman" w:hint="eastAsia"/>
          <w:b/>
          <w:bCs/>
          <w:kern w:val="0"/>
          <w:sz w:val="20"/>
          <w:szCs w:val="20"/>
          <w:lang w:val="en-US"/>
        </w:rPr>
        <w:t xml:space="preserve"> enhancement</w:t>
      </w:r>
      <w:r>
        <w:rPr>
          <w:rFonts w:ascii="Times New Roman" w:hAnsi="Times New Roman" w:cs="Times New Roman"/>
          <w:b/>
          <w:bCs/>
          <w:kern w:val="0"/>
          <w:sz w:val="20"/>
          <w:szCs w:val="20"/>
          <w:lang w:val="en-US"/>
        </w:rPr>
        <w:t xml:space="preserve">: inform UE with </w:t>
      </w:r>
      <w:r>
        <w:rPr>
          <w:rFonts w:ascii="Times New Roman" w:eastAsiaTheme="minorEastAsia" w:hAnsi="Times New Roman" w:cs="Times New Roman" w:hint="eastAsia"/>
          <w:b/>
          <w:bCs/>
          <w:kern w:val="0"/>
          <w:sz w:val="20"/>
          <w:szCs w:val="20"/>
          <w:lang w:val="en-US"/>
        </w:rPr>
        <w:t xml:space="preserve">an </w:t>
      </w:r>
      <w:r>
        <w:rPr>
          <w:rFonts w:ascii="Times New Roman" w:hAnsi="Times New Roman" w:cs="Times New Roman"/>
          <w:b/>
          <w:bCs/>
          <w:kern w:val="0"/>
          <w:sz w:val="20"/>
          <w:szCs w:val="20"/>
          <w:lang w:val="en-US"/>
        </w:rPr>
        <w:t xml:space="preserve">implicit indication: </w:t>
      </w:r>
      <w:r>
        <w:rPr>
          <w:rFonts w:ascii="Times New Roman" w:eastAsiaTheme="minorEastAsia" w:hAnsi="Times New Roman" w:cs="Times New Roman"/>
          <w:b/>
          <w:bCs/>
          <w:kern w:val="0"/>
          <w:sz w:val="20"/>
          <w:szCs w:val="20"/>
          <w:lang w:val="en-US"/>
        </w:rPr>
        <w:t>“In NTN scenarios, when distanceThreshFromReference1 for eventD1/D2 is configured as 1, or when distanceThreshFromReference1 for condEventD1/D2 is configured as 0, the UE</w:t>
      </w:r>
      <w:r>
        <w:rPr>
          <w:rFonts w:ascii="Times New Roman" w:eastAsiaTheme="minorEastAsia" w:hAnsi="Times New Roman" w:cs="Times New Roman" w:hint="eastAsia"/>
          <w:b/>
          <w:bCs/>
          <w:kern w:val="0"/>
          <w:sz w:val="20"/>
          <w:szCs w:val="20"/>
          <w:lang w:val="en-US"/>
        </w:rPr>
        <w:t xml:space="preserve"> shall</w:t>
      </w:r>
      <w:r>
        <w:rPr>
          <w:rFonts w:ascii="Times New Roman" w:eastAsiaTheme="minorEastAsia" w:hAnsi="Times New Roman" w:cs="Times New Roman"/>
          <w:b/>
          <w:bCs/>
          <w:kern w:val="0"/>
          <w:sz w:val="20"/>
          <w:szCs w:val="20"/>
          <w:lang w:val="en-US"/>
        </w:rPr>
        <w:t xml:space="preserve"> invalidate serving cell related configuration information and trigger MR reporting based on the neighbour cell’s configuration only.”</w:t>
      </w:r>
    </w:p>
    <w:p w14:paraId="6CD0F424" w14:textId="77777777" w:rsidR="008560D0" w:rsidRDefault="00000000">
      <w:pPr>
        <w:spacing w:after="180"/>
        <w:rPr>
          <w:rFonts w:ascii="Times New Roman" w:hAnsi="Times New Roman" w:cs="Times New Roman"/>
          <w:b/>
          <w:bCs/>
          <w:kern w:val="0"/>
          <w:sz w:val="20"/>
          <w:szCs w:val="20"/>
        </w:rPr>
      </w:pPr>
      <w:r>
        <w:rPr>
          <w:rFonts w:ascii="Times New Roman" w:hAnsi="Times New Roman" w:cs="Times New Roman"/>
          <w:b/>
          <w:bCs/>
          <w:kern w:val="0"/>
          <w:sz w:val="20"/>
          <w:szCs w:val="20"/>
        </w:rPr>
        <w:t>Proposal 2: R</w:t>
      </w:r>
      <w:r>
        <w:rPr>
          <w:rFonts w:ascii="Times New Roman" w:hAnsi="Times New Roman" w:cs="Times New Roman" w:hint="eastAsia"/>
          <w:b/>
          <w:bCs/>
          <w:kern w:val="0"/>
          <w:sz w:val="20"/>
          <w:szCs w:val="20"/>
        </w:rPr>
        <w:t xml:space="preserve">AN2 should discuss whether it can also be applied in the early </w:t>
      </w:r>
      <w:r>
        <w:rPr>
          <w:rFonts w:ascii="Times New Roman" w:hAnsi="Times New Roman" w:cs="Times New Roman"/>
          <w:b/>
          <w:bCs/>
          <w:kern w:val="0"/>
          <w:sz w:val="20"/>
          <w:szCs w:val="20"/>
        </w:rPr>
        <w:t>releas</w:t>
      </w:r>
      <w:r>
        <w:rPr>
          <w:rFonts w:ascii="Times New Roman" w:hAnsi="Times New Roman" w:cs="Times New Roman" w:hint="eastAsia"/>
          <w:b/>
          <w:bCs/>
          <w:kern w:val="0"/>
          <w:sz w:val="20"/>
          <w:szCs w:val="20"/>
        </w:rPr>
        <w:t xml:space="preserve">es (i.e. R17 and R18). </w:t>
      </w:r>
    </w:p>
    <w:p w14:paraId="3985A819" w14:textId="77777777" w:rsidR="008560D0" w:rsidRDefault="00000000">
      <w:pPr>
        <w:pStyle w:val="1"/>
        <w:spacing w:before="180"/>
        <w:ind w:left="850" w:hangingChars="236" w:hanging="850"/>
        <w:jc w:val="both"/>
      </w:pPr>
      <w:r>
        <w:rPr>
          <w:rFonts w:hint="eastAsia"/>
        </w:rPr>
        <w:t>Reference</w:t>
      </w:r>
    </w:p>
    <w:p w14:paraId="578E8712" w14:textId="77777777" w:rsidR="008560D0" w:rsidRDefault="00000000">
      <w:pPr>
        <w:spacing w:before="180"/>
        <w:ind w:left="472" w:hangingChars="236" w:hanging="472"/>
      </w:pPr>
      <w:r>
        <w:rPr>
          <w:rFonts w:ascii="Times New Roman" w:hAnsi="Times New Roman" w:cs="Times New Roman" w:hint="eastAsia"/>
          <w:kern w:val="0"/>
          <w:sz w:val="20"/>
          <w:szCs w:val="20"/>
        </w:rPr>
        <w:t xml:space="preserve">[1] 38.331 </w:t>
      </w:r>
      <w:r>
        <w:rPr>
          <w:rFonts w:ascii="Times New Roman" w:hAnsi="Times New Roman" w:cs="Times New Roman"/>
          <w:kern w:val="0"/>
          <w:sz w:val="20"/>
          <w:szCs w:val="20"/>
        </w:rPr>
        <w:t>“Radio Resource Control (RRC) protocol specification”</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V18.6.0</w:t>
      </w:r>
    </w:p>
    <w:p w14:paraId="11E09C07" w14:textId="77777777" w:rsidR="008560D0" w:rsidRDefault="00000000">
      <w:pPr>
        <w:pStyle w:val="1"/>
        <w:spacing w:before="180"/>
        <w:ind w:left="850" w:hangingChars="236" w:hanging="850"/>
      </w:pPr>
      <w:r>
        <w:rPr>
          <w:rFonts w:hint="eastAsia"/>
        </w:rPr>
        <w:lastRenderedPageBreak/>
        <w:t>Appendix</w:t>
      </w:r>
    </w:p>
    <w:p w14:paraId="43426524" w14:textId="77777777" w:rsidR="008560D0" w:rsidRDefault="00000000">
      <w:pPr>
        <w:spacing w:before="180"/>
        <w:ind w:left="496" w:hangingChars="236" w:hanging="496"/>
        <w:rPr>
          <w:rFonts w:cs="Arial"/>
          <w:sz w:val="20"/>
        </w:rPr>
      </w:pPr>
      <w:r>
        <w:rPr>
          <w:lang w:val="en-GB" w:eastAsia="en-US"/>
        </w:rPr>
        <w:t xml:space="preserve">------------------------------- Example based on </w:t>
      </w:r>
      <w:bookmarkStart w:id="18" w:name="OLE_LINK43"/>
      <w:r>
        <w:rPr>
          <w:lang w:val="en-GB" w:eastAsia="en-US"/>
        </w:rPr>
        <w:t>38.331 V18.</w:t>
      </w:r>
      <w:r>
        <w:rPr>
          <w:rFonts w:hint="eastAsia"/>
          <w:lang w:val="en-GB"/>
        </w:rPr>
        <w:t>6</w:t>
      </w:r>
      <w:r>
        <w:rPr>
          <w:lang w:val="en-GB" w:eastAsia="en-US"/>
        </w:rPr>
        <w:t>.</w:t>
      </w:r>
      <w:r>
        <w:rPr>
          <w:rFonts w:hint="eastAsia"/>
          <w:lang w:val="en-GB"/>
        </w:rPr>
        <w:t>0</w:t>
      </w:r>
      <w:bookmarkEnd w:id="18"/>
      <w:r>
        <w:rPr>
          <w:lang w:val="en-GB" w:eastAsia="en-US"/>
        </w:rPr>
        <w:t xml:space="preserve"> -------------------------------</w:t>
      </w:r>
    </w:p>
    <w:p w14:paraId="652EF4A3" w14:textId="77777777" w:rsidR="008560D0" w:rsidRDefault="00000000">
      <w:pPr>
        <w:spacing w:before="180" w:after="120"/>
        <w:rPr>
          <w:rFonts w:ascii="Arial" w:hAnsi="Arial" w:cs="Arial"/>
          <w:i/>
          <w:iCs/>
          <w:sz w:val="24"/>
          <w:lang w:val="en-GB"/>
        </w:rPr>
      </w:pPr>
      <w:r>
        <w:rPr>
          <w:rFonts w:ascii="Arial" w:hAnsi="Arial" w:cs="Arial"/>
          <w:i/>
          <w:iCs/>
          <w:sz w:val="24"/>
          <w:lang w:val="en-GB"/>
        </w:rPr>
        <w:t>5.1.1.1 ReportConfigNR</w:t>
      </w:r>
    </w:p>
    <w:p w14:paraId="556BF3E5" w14:textId="77777777" w:rsidR="008560D0" w:rsidRDefault="00000000">
      <w:pPr>
        <w:rPr>
          <w:rFonts w:ascii="Times New Roman" w:eastAsia="MS Mincho" w:hAnsi="Times New Roman" w:cs="Times New Roman"/>
          <w:kern w:val="0"/>
          <w:sz w:val="20"/>
          <w:szCs w:val="20"/>
        </w:rPr>
      </w:pPr>
      <w:r>
        <w:t xml:space="preserve">The IE </w:t>
      </w:r>
      <w:r>
        <w:rPr>
          <w:i/>
        </w:rPr>
        <w:t>ReportConfigNR</w:t>
      </w:r>
      <w: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0FE51CAC" w14:textId="77777777" w:rsidR="008560D0" w:rsidRDefault="00000000">
      <w:pPr>
        <w:pStyle w:val="B10"/>
      </w:pPr>
      <w:r>
        <w:t>Event A4:</w:t>
      </w:r>
      <w:r>
        <w:tab/>
        <w:t>Neighbour becomes better than absolute threshold;</w:t>
      </w:r>
    </w:p>
    <w:p w14:paraId="6389AFEC" w14:textId="77777777" w:rsidR="008560D0" w:rsidRDefault="00000000">
      <w:pPr>
        <w:pStyle w:val="B10"/>
      </w:pPr>
      <w:r>
        <w:t>Event A5:</w:t>
      </w:r>
      <w:r>
        <w:tab/>
        <w:t>PCell/PSCell becomes worse than absolute threshold1 AND Neighbour/SCell becomes better than another absolute threshold2;</w:t>
      </w:r>
    </w:p>
    <w:p w14:paraId="078D7C7C" w14:textId="77777777" w:rsidR="008560D0" w:rsidRDefault="00000000">
      <w:pPr>
        <w:pStyle w:val="B10"/>
      </w:pPr>
      <w:r>
        <w:t>Event D1:</w:t>
      </w:r>
      <w:r>
        <w:tab/>
        <w:t xml:space="preserve">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becomes shorter than configured threshold </w:t>
      </w:r>
      <w:r>
        <w:rPr>
          <w:i/>
        </w:rPr>
        <w:t>distance</w:t>
      </w:r>
      <w:r>
        <w:rPr>
          <w:i/>
          <w:iCs/>
        </w:rPr>
        <w:t>Thresh</w:t>
      </w:r>
      <w:r>
        <w:rPr>
          <w:i/>
        </w:rPr>
        <w:t>FromReference</w:t>
      </w:r>
      <w:r>
        <w:rPr>
          <w:i/>
          <w:iCs/>
        </w:rPr>
        <w:t>2</w:t>
      </w:r>
      <w:r>
        <w:t>;</w:t>
      </w:r>
    </w:p>
    <w:p w14:paraId="59ED545F" w14:textId="77777777" w:rsidR="008560D0" w:rsidRDefault="00000000">
      <w:pPr>
        <w:pStyle w:val="B10"/>
      </w:pPr>
      <w:r>
        <w:t>Event D2:</w:t>
      </w:r>
      <w:r>
        <w:tab/>
        <w:t xml:space="preserve">Distance between UE and the serving cell moving </w:t>
      </w:r>
      <w:bookmarkStart w:id="19" w:name="OLE_LINK32"/>
      <w:r>
        <w:t xml:space="preserve">reference location determined based on </w:t>
      </w:r>
      <w:r>
        <w:rPr>
          <w:i/>
          <w:iCs/>
        </w:rPr>
        <w:t xml:space="preserve">movingReferenceLocation </w:t>
      </w:r>
      <w:r>
        <w:t xml:space="preserve">and its corresponding satellite ephemeris and epoch time broadcast in </w:t>
      </w:r>
      <w:r>
        <w:rPr>
          <w:i/>
          <w:iCs/>
        </w:rPr>
        <w:t>SIB19</w:t>
      </w:r>
      <w:bookmarkEnd w:id="19"/>
      <w:r>
        <w:t xml:space="preserve"> becomes larger than configured threshold </w:t>
      </w:r>
      <w:r>
        <w:rPr>
          <w:i/>
        </w:rPr>
        <w:t>distance</w:t>
      </w:r>
      <w:r>
        <w:rPr>
          <w:i/>
          <w:iCs/>
        </w:rPr>
        <w:t>Thresh</w:t>
      </w:r>
      <w:r>
        <w:rPr>
          <w:i/>
        </w:rPr>
        <w:t>FromReference</w:t>
      </w:r>
      <w:r>
        <w:rPr>
          <w:i/>
          <w:iCs/>
        </w:rPr>
        <w:t>1</w:t>
      </w:r>
      <w:r>
        <w:t xml:space="preserve"> and distance between UE and a moving reference location determined based on </w:t>
      </w:r>
      <w:r>
        <w:rPr>
          <w:i/>
        </w:rPr>
        <w:t>referenceLocation</w:t>
      </w:r>
      <w:r>
        <w:t xml:space="preserve"> and its corresponding satellite ephemeris and epoch time for the neighbor cell provided in the associated </w:t>
      </w:r>
      <w:r>
        <w:rPr>
          <w:i/>
          <w:iCs/>
        </w:rPr>
        <w:t>MeasObjectNR</w:t>
      </w:r>
      <w:r>
        <w:t xml:space="preserve"> becomes shorter than configured threshold </w:t>
      </w:r>
      <w:r>
        <w:rPr>
          <w:i/>
        </w:rPr>
        <w:t>distance</w:t>
      </w:r>
      <w:r>
        <w:rPr>
          <w:i/>
          <w:iCs/>
        </w:rPr>
        <w:t>Thresh</w:t>
      </w:r>
      <w:r>
        <w:rPr>
          <w:i/>
        </w:rPr>
        <w:t>FromReference</w:t>
      </w:r>
      <w:r>
        <w:rPr>
          <w:i/>
          <w:iCs/>
        </w:rPr>
        <w:t>2</w:t>
      </w:r>
      <w:r>
        <w:t>;</w:t>
      </w:r>
    </w:p>
    <w:p w14:paraId="5E9696E5" w14:textId="77777777" w:rsidR="008560D0" w:rsidRDefault="00000000">
      <w:pPr>
        <w:pStyle w:val="B10"/>
      </w:pPr>
      <w:r>
        <w:t xml:space="preserve">CondEvent D1: 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of conditional reconfiguration candidate becomes shorter than configured threshold </w:t>
      </w:r>
      <w:r>
        <w:rPr>
          <w:i/>
        </w:rPr>
        <w:t>distance</w:t>
      </w:r>
      <w:r>
        <w:rPr>
          <w:i/>
          <w:iCs/>
        </w:rPr>
        <w:t>Thresh</w:t>
      </w:r>
      <w:r>
        <w:rPr>
          <w:i/>
        </w:rPr>
        <w:t>FromReference</w:t>
      </w:r>
      <w:r>
        <w:rPr>
          <w:i/>
          <w:iCs/>
        </w:rPr>
        <w:t>2</w:t>
      </w:r>
      <w:r>
        <w:t>;</w:t>
      </w:r>
    </w:p>
    <w:p w14:paraId="5227C368" w14:textId="77777777" w:rsidR="008560D0" w:rsidRDefault="00000000">
      <w:pPr>
        <w:pStyle w:val="B10"/>
      </w:pPr>
      <w:r>
        <w:t xml:space="preserve">CondEvent D2: Distance between UE and the serving cell moving reference location determined based on </w:t>
      </w:r>
      <w:r>
        <w:rPr>
          <w:i/>
          <w:iCs/>
        </w:rPr>
        <w:t>movingReferenceLocation</w:t>
      </w:r>
      <w:r>
        <w:t xml:space="preserve"> and its corresponding satellite ephemeris and epoch time broadcast in </w:t>
      </w:r>
      <w:r>
        <w:rPr>
          <w:i/>
          <w:iCs/>
        </w:rPr>
        <w:t>SIB19</w:t>
      </w:r>
      <w:r>
        <w:t xml:space="preserve"> becomes larger than configured threshold </w:t>
      </w:r>
      <w:r>
        <w:rPr>
          <w:i/>
          <w:iCs/>
        </w:rPr>
        <w:t>distanceThreshFromReference1</w:t>
      </w:r>
      <w:r>
        <w:t xml:space="preserve"> and distance between UE and a moving reference location determined based on </w:t>
      </w:r>
      <w:r>
        <w:rPr>
          <w:i/>
          <w:iCs/>
        </w:rPr>
        <w:t>referenceLocation</w:t>
      </w:r>
      <w:r>
        <w:t xml:space="preserve"> and its corresponding satellite ephemeris and epoch time for the conditional reconfiguration candidate provided in the associated </w:t>
      </w:r>
      <w:r>
        <w:rPr>
          <w:i/>
          <w:iCs/>
        </w:rPr>
        <w:t>MeasObjectNR</w:t>
      </w:r>
      <w:r>
        <w:t xml:space="preserve"> becomes shorter than configured threshold </w:t>
      </w:r>
      <w:r>
        <w:rPr>
          <w:i/>
          <w:iCs/>
        </w:rPr>
        <w:t>distanceThreshFromReference2</w:t>
      </w:r>
      <w:r>
        <w:t>;</w:t>
      </w:r>
    </w:p>
    <w:p w14:paraId="0199C465" w14:textId="77777777" w:rsidR="008560D0" w:rsidRDefault="00000000">
      <w:pPr>
        <w:pStyle w:val="TH"/>
        <w:jc w:val="left"/>
        <w:rPr>
          <w:lang w:val="en-US"/>
        </w:rPr>
      </w:pPr>
      <w:r>
        <w:rPr>
          <w:i/>
          <w:lang w:val="en-US"/>
        </w:rPr>
        <w:t>ReportConfigNR</w:t>
      </w:r>
      <w:r>
        <w:rPr>
          <w:lang w:val="en-US"/>
        </w:rPr>
        <w:t xml:space="preserve"> information element</w:t>
      </w:r>
    </w:p>
    <w:p w14:paraId="03101ACE" w14:textId="77777777" w:rsidR="008560D0" w:rsidRDefault="00000000">
      <w:pPr>
        <w:pStyle w:val="PL"/>
        <w:rPr>
          <w:color w:val="808080"/>
        </w:rPr>
      </w:pPr>
      <w:r>
        <w:rPr>
          <w:color w:val="808080"/>
        </w:rPr>
        <w:t>-- ASN1START</w:t>
      </w:r>
    </w:p>
    <w:p w14:paraId="1BE10896" w14:textId="77777777" w:rsidR="008560D0" w:rsidRDefault="00000000">
      <w:pPr>
        <w:pStyle w:val="PL"/>
        <w:rPr>
          <w:color w:val="808080"/>
        </w:rPr>
      </w:pPr>
      <w:r>
        <w:rPr>
          <w:color w:val="808080"/>
        </w:rPr>
        <w:t>-- TAG-REPORTCONFIGNR-START</w:t>
      </w:r>
    </w:p>
    <w:p w14:paraId="231326DD" w14:textId="77777777" w:rsidR="008560D0" w:rsidRDefault="008560D0">
      <w:pPr>
        <w:pStyle w:val="PL"/>
      </w:pPr>
    </w:p>
    <w:p w14:paraId="30C6B89A" w14:textId="77777777" w:rsidR="008560D0" w:rsidRDefault="00000000">
      <w:pPr>
        <w:pStyle w:val="PL"/>
      </w:pPr>
      <w:r>
        <w:t xml:space="preserve">ReportConfigNR ::=                          </w:t>
      </w:r>
      <w:r>
        <w:rPr>
          <w:color w:val="993366"/>
        </w:rPr>
        <w:t>SEQUENCE</w:t>
      </w:r>
      <w:r>
        <w:t xml:space="preserve"> {</w:t>
      </w:r>
    </w:p>
    <w:p w14:paraId="52A4B2A4" w14:textId="77777777" w:rsidR="008560D0" w:rsidRDefault="00000000">
      <w:pPr>
        <w:pStyle w:val="PL"/>
      </w:pPr>
      <w:r>
        <w:t xml:space="preserve">    reportType                                  </w:t>
      </w:r>
      <w:r>
        <w:rPr>
          <w:color w:val="993366"/>
        </w:rPr>
        <w:t>CHOICE</w:t>
      </w:r>
      <w:r>
        <w:t xml:space="preserve"> {</w:t>
      </w:r>
    </w:p>
    <w:p w14:paraId="136612BD" w14:textId="77777777" w:rsidR="008560D0" w:rsidRDefault="00000000">
      <w:pPr>
        <w:pStyle w:val="PL"/>
      </w:pPr>
      <w:r>
        <w:t xml:space="preserve">        periodical                                  PeriodicalReportConfig,</w:t>
      </w:r>
    </w:p>
    <w:p w14:paraId="4DE98DAA" w14:textId="77777777" w:rsidR="008560D0" w:rsidRDefault="00000000">
      <w:pPr>
        <w:pStyle w:val="PL"/>
      </w:pPr>
      <w:r>
        <w:t xml:space="preserve">        eventTriggered                              EventTriggerConfig,</w:t>
      </w:r>
    </w:p>
    <w:p w14:paraId="13EC84A8" w14:textId="77777777" w:rsidR="008560D0" w:rsidRDefault="00000000">
      <w:pPr>
        <w:pStyle w:val="PL"/>
      </w:pPr>
      <w:r>
        <w:t xml:space="preserve">        ...,</w:t>
      </w:r>
    </w:p>
    <w:p w14:paraId="73A9E8F6" w14:textId="77777777" w:rsidR="008560D0" w:rsidRDefault="00000000">
      <w:pPr>
        <w:pStyle w:val="PL"/>
      </w:pPr>
      <w:r>
        <w:t xml:space="preserve">        reportCGI                                   ReportCGI,</w:t>
      </w:r>
    </w:p>
    <w:p w14:paraId="585B0D97" w14:textId="77777777" w:rsidR="008560D0" w:rsidRDefault="00000000">
      <w:pPr>
        <w:pStyle w:val="PL"/>
      </w:pPr>
      <w:r>
        <w:t xml:space="preserve">        reportSFTD                                  ReportSFTD-NR,</w:t>
      </w:r>
    </w:p>
    <w:p w14:paraId="38254D2C" w14:textId="77777777" w:rsidR="008560D0" w:rsidRDefault="00000000">
      <w:pPr>
        <w:pStyle w:val="PL"/>
      </w:pPr>
      <w:r>
        <w:t xml:space="preserve">        condTriggerConfig-r16                       CondTriggerConfig-r16,</w:t>
      </w:r>
    </w:p>
    <w:p w14:paraId="0A0E595E" w14:textId="77777777" w:rsidR="008560D0" w:rsidRDefault="00000000">
      <w:pPr>
        <w:pStyle w:val="PL"/>
      </w:pPr>
      <w:r>
        <w:t xml:space="preserve">        cli-Periodical-r16                          CLI-PeriodicalReportConfig-r16,</w:t>
      </w:r>
    </w:p>
    <w:p w14:paraId="63873075" w14:textId="77777777" w:rsidR="008560D0" w:rsidRDefault="00000000">
      <w:pPr>
        <w:pStyle w:val="PL"/>
      </w:pPr>
      <w:r>
        <w:t xml:space="preserve">        cli-EventTriggered-r16                      CLI-EventTriggerConfig-r16,</w:t>
      </w:r>
    </w:p>
    <w:p w14:paraId="545AD304" w14:textId="77777777" w:rsidR="008560D0" w:rsidRDefault="00000000">
      <w:pPr>
        <w:pStyle w:val="PL"/>
      </w:pPr>
      <w:r>
        <w:t xml:space="preserve">        rxTxPeriodical-r17                          RxTxPeriodical-r17,</w:t>
      </w:r>
    </w:p>
    <w:p w14:paraId="3B5E2A7A" w14:textId="77777777" w:rsidR="008560D0" w:rsidRDefault="00000000">
      <w:pPr>
        <w:pStyle w:val="PL"/>
      </w:pPr>
      <w:r>
        <w:t xml:space="preserve">        reportOnScellActivation-r18                 ReportOnScellActivation-r18</w:t>
      </w:r>
    </w:p>
    <w:p w14:paraId="269064FC" w14:textId="77777777" w:rsidR="008560D0" w:rsidRDefault="00000000">
      <w:pPr>
        <w:pStyle w:val="PL"/>
      </w:pPr>
      <w:r>
        <w:t xml:space="preserve">    }</w:t>
      </w:r>
    </w:p>
    <w:p w14:paraId="0C7EE926" w14:textId="77777777" w:rsidR="008560D0" w:rsidRDefault="00000000">
      <w:pPr>
        <w:pStyle w:val="PL"/>
      </w:pPr>
      <w:r>
        <w:t>}</w:t>
      </w:r>
    </w:p>
    <w:p w14:paraId="7BC302DC" w14:textId="77777777" w:rsidR="008560D0" w:rsidRDefault="008560D0">
      <w:pPr>
        <w:pStyle w:val="PL"/>
      </w:pPr>
    </w:p>
    <w:p w14:paraId="0351AAA3" w14:textId="77777777" w:rsidR="008560D0" w:rsidRDefault="00000000">
      <w:pPr>
        <w:pStyle w:val="PL"/>
      </w:pPr>
      <w:r>
        <w:t xml:space="preserve">CondTriggerConfig-r16 ::=        </w:t>
      </w:r>
      <w:r>
        <w:rPr>
          <w:color w:val="993366"/>
        </w:rPr>
        <w:t>SEQUENCE</w:t>
      </w:r>
      <w:r>
        <w:t xml:space="preserve"> {</w:t>
      </w:r>
    </w:p>
    <w:p w14:paraId="6F0BD44D" w14:textId="77777777" w:rsidR="008560D0" w:rsidRDefault="00000000">
      <w:pPr>
        <w:pStyle w:val="PL"/>
      </w:pPr>
      <w:r>
        <w:t xml:space="preserve">    condEventId                      </w:t>
      </w:r>
      <w:r>
        <w:rPr>
          <w:color w:val="993366"/>
        </w:rPr>
        <w:t>CHOICE</w:t>
      </w:r>
      <w:r>
        <w:t xml:space="preserve"> {</w:t>
      </w:r>
    </w:p>
    <w:p w14:paraId="12AD0FFF" w14:textId="77777777" w:rsidR="008560D0" w:rsidRDefault="00000000">
      <w:pPr>
        <w:pStyle w:val="PL"/>
      </w:pPr>
      <w:r>
        <w:t xml:space="preserve">        condEventD1-r17                  </w:t>
      </w:r>
      <w:r>
        <w:rPr>
          <w:color w:val="993366"/>
        </w:rPr>
        <w:t>SEQUENCE</w:t>
      </w:r>
      <w:r>
        <w:t xml:space="preserve"> {</w:t>
      </w:r>
    </w:p>
    <w:p w14:paraId="144B6E6D" w14:textId="77777777" w:rsidR="008560D0" w:rsidRDefault="00000000">
      <w:pPr>
        <w:pStyle w:val="PL"/>
      </w:pPr>
      <w:r>
        <w:t xml:space="preserve">            distanceThreshFromReference1-r17 </w:t>
      </w:r>
      <w:r>
        <w:rPr>
          <w:color w:val="993366"/>
        </w:rPr>
        <w:t>INTEGER</w:t>
      </w:r>
      <w:r>
        <w:t>(0.. 65525),</w:t>
      </w:r>
    </w:p>
    <w:p w14:paraId="2CD7F556" w14:textId="77777777" w:rsidR="008560D0" w:rsidRDefault="00000000">
      <w:pPr>
        <w:pStyle w:val="PL"/>
      </w:pPr>
      <w:r>
        <w:t xml:space="preserve">            distanceThreshFromReference2-r17 </w:t>
      </w:r>
      <w:r>
        <w:rPr>
          <w:color w:val="993366"/>
        </w:rPr>
        <w:t>INTEGER</w:t>
      </w:r>
      <w:r>
        <w:t>(0.. 65525),</w:t>
      </w:r>
    </w:p>
    <w:p w14:paraId="73EB9E62" w14:textId="77777777" w:rsidR="008560D0" w:rsidRDefault="00000000">
      <w:pPr>
        <w:pStyle w:val="PL"/>
      </w:pPr>
      <w:r>
        <w:t xml:space="preserve">            referenceLocation1-r17           ReferenceLocation-r17,</w:t>
      </w:r>
    </w:p>
    <w:p w14:paraId="31281402" w14:textId="77777777" w:rsidR="008560D0" w:rsidRDefault="00000000">
      <w:pPr>
        <w:pStyle w:val="PL"/>
      </w:pPr>
      <w:r>
        <w:t xml:space="preserve">            referenceLocation2-r17           ReferenceLocation-r17,</w:t>
      </w:r>
    </w:p>
    <w:p w14:paraId="699454AF" w14:textId="77777777" w:rsidR="008560D0" w:rsidRDefault="00000000">
      <w:pPr>
        <w:pStyle w:val="PL"/>
      </w:pPr>
      <w:r>
        <w:t xml:space="preserve">            hysteresisLocation-r17           HysteresisLocation-r17,</w:t>
      </w:r>
    </w:p>
    <w:p w14:paraId="7A81B41C" w14:textId="77777777" w:rsidR="008560D0" w:rsidRDefault="00000000">
      <w:pPr>
        <w:pStyle w:val="PL"/>
      </w:pPr>
      <w:r>
        <w:t xml:space="preserve">            timeToTrigger-r17                TimeToTrigger</w:t>
      </w:r>
    </w:p>
    <w:p w14:paraId="5CE77DA5" w14:textId="77777777" w:rsidR="008560D0" w:rsidRDefault="00000000">
      <w:pPr>
        <w:pStyle w:val="PL"/>
      </w:pPr>
      <w:r>
        <w:t xml:space="preserve">        },</w:t>
      </w:r>
    </w:p>
    <w:p w14:paraId="3A3F4420" w14:textId="77777777" w:rsidR="008560D0" w:rsidRDefault="00000000">
      <w:pPr>
        <w:pStyle w:val="PL"/>
      </w:pPr>
      <w:r>
        <w:t xml:space="preserve">        condEventD2-r18                  </w:t>
      </w:r>
      <w:r>
        <w:rPr>
          <w:color w:val="993366"/>
        </w:rPr>
        <w:t>SEQUENCE</w:t>
      </w:r>
      <w:r>
        <w:t xml:space="preserve"> {</w:t>
      </w:r>
    </w:p>
    <w:p w14:paraId="2825478F" w14:textId="77777777" w:rsidR="008560D0" w:rsidRDefault="00000000">
      <w:pPr>
        <w:pStyle w:val="PL"/>
      </w:pPr>
      <w:r>
        <w:t xml:space="preserve">            distanceThreshFromReference1-r18 </w:t>
      </w:r>
      <w:r>
        <w:rPr>
          <w:color w:val="993366"/>
        </w:rPr>
        <w:t>INTEGER</w:t>
      </w:r>
      <w:r>
        <w:t>(0.. 65535),</w:t>
      </w:r>
    </w:p>
    <w:p w14:paraId="3936FAD0" w14:textId="77777777" w:rsidR="008560D0" w:rsidRDefault="00000000">
      <w:pPr>
        <w:pStyle w:val="PL"/>
      </w:pPr>
      <w:r>
        <w:t xml:space="preserve">            distanceThreshFromReference2-r18 </w:t>
      </w:r>
      <w:r>
        <w:rPr>
          <w:color w:val="993366"/>
        </w:rPr>
        <w:t>INTEGER</w:t>
      </w:r>
      <w:r>
        <w:t>(0.. 65535),</w:t>
      </w:r>
    </w:p>
    <w:p w14:paraId="0D40CA71" w14:textId="77777777" w:rsidR="008560D0" w:rsidRDefault="00000000">
      <w:pPr>
        <w:pStyle w:val="PL"/>
      </w:pPr>
      <w:r>
        <w:t xml:space="preserve">            hysteresisLocation-r18           HysteresisLocation-r17,</w:t>
      </w:r>
    </w:p>
    <w:p w14:paraId="09A31278" w14:textId="77777777" w:rsidR="008560D0" w:rsidRDefault="00000000">
      <w:pPr>
        <w:pStyle w:val="PL"/>
      </w:pPr>
      <w:r>
        <w:t xml:space="preserve">            timeToTrigger-r18                TimeToTrigger</w:t>
      </w:r>
    </w:p>
    <w:p w14:paraId="500828A9" w14:textId="77777777" w:rsidR="008560D0" w:rsidRDefault="00000000">
      <w:pPr>
        <w:pStyle w:val="PL"/>
      </w:pPr>
      <w:r>
        <w:lastRenderedPageBreak/>
        <w:t xml:space="preserve">        }</w:t>
      </w:r>
    </w:p>
    <w:p w14:paraId="640CB588" w14:textId="77777777" w:rsidR="008560D0" w:rsidRDefault="00000000">
      <w:pPr>
        <w:pStyle w:val="PL"/>
      </w:pPr>
      <w:r>
        <w:t xml:space="preserve">    },</w:t>
      </w:r>
    </w:p>
    <w:p w14:paraId="569D0FF3" w14:textId="77777777" w:rsidR="008560D0" w:rsidRDefault="00000000">
      <w:pPr>
        <w:pStyle w:val="PL"/>
      </w:pPr>
      <w:r>
        <w:t xml:space="preserve">    rsType-r16                       NR-RS-Type,</w:t>
      </w:r>
    </w:p>
    <w:p w14:paraId="6279CC8B" w14:textId="77777777" w:rsidR="008560D0" w:rsidRDefault="00000000">
      <w:pPr>
        <w:pStyle w:val="PL"/>
      </w:pPr>
      <w:r>
        <w:t xml:space="preserve">    ...,</w:t>
      </w:r>
    </w:p>
    <w:p w14:paraId="75A8E695" w14:textId="77777777" w:rsidR="008560D0" w:rsidRDefault="00000000">
      <w:pPr>
        <w:pStyle w:val="PL"/>
      </w:pPr>
      <w:r>
        <w:t xml:space="preserve">    [[</w:t>
      </w:r>
    </w:p>
    <w:p w14:paraId="6BA2C628" w14:textId="77777777" w:rsidR="008560D0" w:rsidRDefault="00000000">
      <w:pPr>
        <w:pStyle w:val="PL"/>
        <w:rPr>
          <w:color w:val="808080"/>
        </w:rPr>
      </w:pPr>
      <w:r>
        <w:t xml:space="preserve">    nesEvent-r18                     </w:t>
      </w:r>
      <w:r>
        <w:rPr>
          <w:color w:val="993366"/>
        </w:rPr>
        <w:t>ENUMERATED</w:t>
      </w:r>
      <w:r>
        <w:t xml:space="preserve"> {true}                                </w:t>
      </w:r>
      <w:r>
        <w:rPr>
          <w:color w:val="993366"/>
        </w:rPr>
        <w:t>OPTIONAL</w:t>
      </w:r>
      <w:r>
        <w:t xml:space="preserve">    </w:t>
      </w:r>
      <w:r>
        <w:rPr>
          <w:color w:val="808080"/>
        </w:rPr>
        <w:t>-- Need R</w:t>
      </w:r>
    </w:p>
    <w:p w14:paraId="5E98D940" w14:textId="77777777" w:rsidR="008560D0" w:rsidRDefault="00000000">
      <w:pPr>
        <w:pStyle w:val="PL"/>
      </w:pPr>
      <w:r>
        <w:t xml:space="preserve">    ]]</w:t>
      </w:r>
    </w:p>
    <w:p w14:paraId="28D35BAC" w14:textId="77777777" w:rsidR="008560D0" w:rsidRDefault="008560D0">
      <w:pPr>
        <w:pStyle w:val="PL"/>
      </w:pPr>
    </w:p>
    <w:p w14:paraId="4F708CC8" w14:textId="77777777" w:rsidR="008560D0" w:rsidRDefault="00000000">
      <w:pPr>
        <w:pStyle w:val="PL"/>
      </w:pPr>
      <w:r>
        <w:t>}</w:t>
      </w:r>
    </w:p>
    <w:p w14:paraId="2BD5B072" w14:textId="77777777" w:rsidR="008560D0" w:rsidRDefault="008560D0">
      <w:pPr>
        <w:pStyle w:val="PL"/>
      </w:pPr>
    </w:p>
    <w:p w14:paraId="3FDECC72" w14:textId="77777777" w:rsidR="008560D0" w:rsidRDefault="00000000">
      <w:pPr>
        <w:pStyle w:val="PL"/>
      </w:pPr>
      <w:r>
        <w:t xml:space="preserve">EventTriggerConfig ::=                      </w:t>
      </w:r>
      <w:r>
        <w:rPr>
          <w:color w:val="993366"/>
        </w:rPr>
        <w:t>SEQUENCE</w:t>
      </w:r>
      <w:r>
        <w:t xml:space="preserve"> {</w:t>
      </w:r>
    </w:p>
    <w:p w14:paraId="615612BF" w14:textId="77777777" w:rsidR="008560D0" w:rsidRDefault="00000000">
      <w:pPr>
        <w:pStyle w:val="PL"/>
      </w:pPr>
      <w:r>
        <w:t xml:space="preserve">    eventId                                     </w:t>
      </w:r>
      <w:r>
        <w:rPr>
          <w:color w:val="993366"/>
        </w:rPr>
        <w:t>CHOICE</w:t>
      </w:r>
      <w:r>
        <w:t xml:space="preserve"> {</w:t>
      </w:r>
    </w:p>
    <w:p w14:paraId="338DE5D1" w14:textId="77777777" w:rsidR="008560D0" w:rsidRDefault="00000000">
      <w:pPr>
        <w:pStyle w:val="PL"/>
      </w:pPr>
      <w:r>
        <w:t xml:space="preserve">        eventA4                                     </w:t>
      </w:r>
      <w:r>
        <w:rPr>
          <w:color w:val="993366"/>
        </w:rPr>
        <w:t>SEQUENCE</w:t>
      </w:r>
      <w:r>
        <w:t xml:space="preserve"> {</w:t>
      </w:r>
    </w:p>
    <w:p w14:paraId="65B6502D" w14:textId="77777777" w:rsidR="008560D0" w:rsidRDefault="00000000">
      <w:pPr>
        <w:pStyle w:val="PL"/>
      </w:pPr>
      <w:r>
        <w:t xml:space="preserve">            a4-Threshold                                MeasTriggerQuantity,</w:t>
      </w:r>
    </w:p>
    <w:p w14:paraId="1E2EB29B" w14:textId="77777777" w:rsidR="008560D0" w:rsidRDefault="00000000">
      <w:pPr>
        <w:pStyle w:val="PL"/>
      </w:pPr>
      <w:r>
        <w:t xml:space="preserve">            reportOnLeave                               </w:t>
      </w:r>
      <w:r>
        <w:rPr>
          <w:color w:val="993366"/>
        </w:rPr>
        <w:t>BOOLEAN</w:t>
      </w:r>
      <w:r>
        <w:t>,</w:t>
      </w:r>
    </w:p>
    <w:p w14:paraId="00869923" w14:textId="77777777" w:rsidR="008560D0" w:rsidRDefault="00000000">
      <w:pPr>
        <w:pStyle w:val="PL"/>
      </w:pPr>
      <w:r>
        <w:t xml:space="preserve">            hysteresis                                  Hysteresis,</w:t>
      </w:r>
    </w:p>
    <w:p w14:paraId="46AD895D" w14:textId="77777777" w:rsidR="008560D0" w:rsidRDefault="00000000">
      <w:pPr>
        <w:pStyle w:val="PL"/>
      </w:pPr>
      <w:r>
        <w:t xml:space="preserve">            timeToTrigger                               TimeToTrigger,</w:t>
      </w:r>
    </w:p>
    <w:p w14:paraId="0A7B90BA" w14:textId="77777777" w:rsidR="008560D0" w:rsidRDefault="00000000">
      <w:pPr>
        <w:pStyle w:val="PL"/>
      </w:pPr>
      <w:r>
        <w:t xml:space="preserve">            useAllowedCellList                          </w:t>
      </w:r>
      <w:r>
        <w:rPr>
          <w:color w:val="993366"/>
        </w:rPr>
        <w:t>BOOLEAN</w:t>
      </w:r>
    </w:p>
    <w:p w14:paraId="416BE9A4" w14:textId="77777777" w:rsidR="008560D0" w:rsidRDefault="00000000">
      <w:pPr>
        <w:pStyle w:val="PL"/>
      </w:pPr>
      <w:r>
        <w:t xml:space="preserve">        },</w:t>
      </w:r>
    </w:p>
    <w:p w14:paraId="63EF09A6" w14:textId="77777777" w:rsidR="008560D0" w:rsidRDefault="00000000">
      <w:pPr>
        <w:pStyle w:val="PL"/>
      </w:pPr>
      <w:r>
        <w:t xml:space="preserve">        eventA5                                     </w:t>
      </w:r>
      <w:r>
        <w:rPr>
          <w:color w:val="993366"/>
        </w:rPr>
        <w:t>SEQUENCE</w:t>
      </w:r>
      <w:r>
        <w:t xml:space="preserve"> {</w:t>
      </w:r>
    </w:p>
    <w:p w14:paraId="645213AC" w14:textId="77777777" w:rsidR="008560D0" w:rsidRDefault="00000000">
      <w:pPr>
        <w:pStyle w:val="PL"/>
      </w:pPr>
      <w:r>
        <w:t xml:space="preserve">            a5-Threshold1                               MeasTriggerQuantity,</w:t>
      </w:r>
    </w:p>
    <w:p w14:paraId="3BC99CAE" w14:textId="77777777" w:rsidR="008560D0" w:rsidRDefault="00000000">
      <w:pPr>
        <w:pStyle w:val="PL"/>
      </w:pPr>
      <w:r>
        <w:t xml:space="preserve">            a5-Threshold2                               MeasTriggerQuantity,</w:t>
      </w:r>
    </w:p>
    <w:p w14:paraId="408C87F7" w14:textId="77777777" w:rsidR="008560D0" w:rsidRDefault="00000000">
      <w:pPr>
        <w:pStyle w:val="PL"/>
      </w:pPr>
      <w:r>
        <w:t xml:space="preserve">            reportOnLeave                               </w:t>
      </w:r>
      <w:r>
        <w:rPr>
          <w:color w:val="993366"/>
        </w:rPr>
        <w:t>BOOLEAN</w:t>
      </w:r>
      <w:r>
        <w:t>,</w:t>
      </w:r>
    </w:p>
    <w:p w14:paraId="6A48F6E1" w14:textId="77777777" w:rsidR="008560D0" w:rsidRDefault="00000000">
      <w:pPr>
        <w:pStyle w:val="PL"/>
      </w:pPr>
      <w:r>
        <w:t xml:space="preserve">            hysteresis                                  Hysteresis,</w:t>
      </w:r>
    </w:p>
    <w:p w14:paraId="0C340203" w14:textId="77777777" w:rsidR="008560D0" w:rsidRDefault="00000000">
      <w:pPr>
        <w:pStyle w:val="PL"/>
      </w:pPr>
      <w:r>
        <w:t xml:space="preserve">            timeToTrigger                               TimeToTrigger,</w:t>
      </w:r>
    </w:p>
    <w:p w14:paraId="423DF2A0" w14:textId="77777777" w:rsidR="008560D0" w:rsidRDefault="00000000">
      <w:pPr>
        <w:pStyle w:val="PL"/>
      </w:pPr>
      <w:r>
        <w:t xml:space="preserve">            useAllowedCellList                          </w:t>
      </w:r>
      <w:r>
        <w:rPr>
          <w:color w:val="993366"/>
        </w:rPr>
        <w:t>BOOLEAN</w:t>
      </w:r>
    </w:p>
    <w:p w14:paraId="5D91AD2E" w14:textId="77777777" w:rsidR="008560D0" w:rsidRDefault="00000000">
      <w:pPr>
        <w:pStyle w:val="PL"/>
      </w:pPr>
      <w:r>
        <w:t xml:space="preserve">        },</w:t>
      </w:r>
    </w:p>
    <w:p w14:paraId="5D4CACE4" w14:textId="77777777" w:rsidR="008560D0" w:rsidRDefault="00000000">
      <w:pPr>
        <w:pStyle w:val="PL"/>
      </w:pPr>
      <w:r>
        <w:t xml:space="preserve">        </w:t>
      </w:r>
    </w:p>
    <w:p w14:paraId="6191A06D" w14:textId="77777777" w:rsidR="008560D0" w:rsidRDefault="00000000">
      <w:pPr>
        <w:pStyle w:val="PL"/>
      </w:pPr>
      <w:r>
        <w:t xml:space="preserve">        ...,</w:t>
      </w:r>
    </w:p>
    <w:p w14:paraId="2AC45EF3" w14:textId="77777777" w:rsidR="008560D0" w:rsidRDefault="00000000">
      <w:pPr>
        <w:pStyle w:val="PL"/>
      </w:pPr>
      <w:r>
        <w:t xml:space="preserve">        [[</w:t>
      </w:r>
    </w:p>
    <w:p w14:paraId="7346840F" w14:textId="77777777" w:rsidR="008560D0" w:rsidRDefault="00000000">
      <w:pPr>
        <w:pStyle w:val="PL"/>
      </w:pPr>
      <w:r>
        <w:t xml:space="preserve">        eventD1-r17                                 </w:t>
      </w:r>
      <w:r>
        <w:rPr>
          <w:color w:val="993366"/>
        </w:rPr>
        <w:t>SEQUENCE</w:t>
      </w:r>
      <w:r>
        <w:t xml:space="preserve"> {</w:t>
      </w:r>
    </w:p>
    <w:p w14:paraId="73452A82" w14:textId="77777777" w:rsidR="008560D0" w:rsidRDefault="00000000">
      <w:pPr>
        <w:pStyle w:val="PL"/>
      </w:pPr>
      <w:r>
        <w:t xml:space="preserve">            distanceThreshFromReference1-r17            </w:t>
      </w:r>
      <w:r>
        <w:rPr>
          <w:color w:val="993366"/>
        </w:rPr>
        <w:t>INTEGER</w:t>
      </w:r>
      <w:r>
        <w:t>(1.. 65525),</w:t>
      </w:r>
    </w:p>
    <w:p w14:paraId="3F7CAF31" w14:textId="77777777" w:rsidR="008560D0" w:rsidRDefault="00000000">
      <w:pPr>
        <w:pStyle w:val="PL"/>
      </w:pPr>
      <w:r>
        <w:t xml:space="preserve">            distanceThreshFromReference2-r17            </w:t>
      </w:r>
      <w:r>
        <w:rPr>
          <w:color w:val="993366"/>
        </w:rPr>
        <w:t>INTEGER</w:t>
      </w:r>
      <w:r>
        <w:t>(1.. 65525),</w:t>
      </w:r>
    </w:p>
    <w:p w14:paraId="2D59CF48" w14:textId="77777777" w:rsidR="008560D0" w:rsidRDefault="00000000">
      <w:pPr>
        <w:pStyle w:val="PL"/>
      </w:pPr>
      <w:r>
        <w:t xml:space="preserve">            referenceLocation1-r17                      ReferenceLocation-r17,</w:t>
      </w:r>
    </w:p>
    <w:p w14:paraId="6971C6E2" w14:textId="77777777" w:rsidR="008560D0" w:rsidRDefault="00000000">
      <w:pPr>
        <w:pStyle w:val="PL"/>
      </w:pPr>
      <w:r>
        <w:t xml:space="preserve">            referenceLocation2-r17                      ReferenceLocation-r17,</w:t>
      </w:r>
    </w:p>
    <w:p w14:paraId="4CE7C21D" w14:textId="77777777" w:rsidR="008560D0" w:rsidRDefault="00000000">
      <w:pPr>
        <w:pStyle w:val="PL"/>
      </w:pPr>
      <w:r>
        <w:t xml:space="preserve">            reportOnLeave-r17                           </w:t>
      </w:r>
      <w:r>
        <w:rPr>
          <w:color w:val="993366"/>
        </w:rPr>
        <w:t>BOOLEAN</w:t>
      </w:r>
      <w:r>
        <w:t>,</w:t>
      </w:r>
    </w:p>
    <w:p w14:paraId="720EAF98" w14:textId="77777777" w:rsidR="008560D0" w:rsidRDefault="00000000">
      <w:pPr>
        <w:pStyle w:val="PL"/>
      </w:pPr>
      <w:r>
        <w:t xml:space="preserve">            hysteresisLocation-r17                      HysteresisLocation-r17,</w:t>
      </w:r>
    </w:p>
    <w:p w14:paraId="38734AFD" w14:textId="77777777" w:rsidR="008560D0" w:rsidRDefault="00000000">
      <w:pPr>
        <w:pStyle w:val="PL"/>
      </w:pPr>
      <w:r>
        <w:t xml:space="preserve">            timeToTrigger-r17                           TimeToTrigger</w:t>
      </w:r>
    </w:p>
    <w:p w14:paraId="3A108D9F" w14:textId="77777777" w:rsidR="008560D0" w:rsidRDefault="00000000">
      <w:pPr>
        <w:pStyle w:val="PL"/>
      </w:pPr>
      <w:r>
        <w:t xml:space="preserve">        }</w:t>
      </w:r>
    </w:p>
    <w:p w14:paraId="2815F211" w14:textId="77777777" w:rsidR="008560D0" w:rsidRDefault="00000000">
      <w:pPr>
        <w:pStyle w:val="PL"/>
      </w:pPr>
      <w:r>
        <w:t xml:space="preserve">        ]],</w:t>
      </w:r>
    </w:p>
    <w:p w14:paraId="6CF43FD4" w14:textId="77777777" w:rsidR="008560D0" w:rsidRDefault="00000000">
      <w:pPr>
        <w:pStyle w:val="PL"/>
      </w:pPr>
      <w:r>
        <w:t xml:space="preserve">        [[</w:t>
      </w:r>
    </w:p>
    <w:p w14:paraId="0B5723B5" w14:textId="77777777" w:rsidR="008560D0" w:rsidRDefault="00000000">
      <w:pPr>
        <w:pStyle w:val="PL"/>
      </w:pPr>
      <w:r>
        <w:t xml:space="preserve">        eventD2-r18                                 </w:t>
      </w:r>
      <w:r>
        <w:rPr>
          <w:color w:val="993366"/>
        </w:rPr>
        <w:t>SEQUENCE</w:t>
      </w:r>
      <w:r>
        <w:t xml:space="preserve"> {</w:t>
      </w:r>
    </w:p>
    <w:p w14:paraId="290189EF" w14:textId="77777777" w:rsidR="008560D0" w:rsidRDefault="00000000">
      <w:pPr>
        <w:pStyle w:val="PL"/>
      </w:pPr>
      <w:r>
        <w:t xml:space="preserve">            distanceThreshFromReference1-r18            </w:t>
      </w:r>
      <w:r>
        <w:rPr>
          <w:color w:val="993366"/>
        </w:rPr>
        <w:t>INTEGER</w:t>
      </w:r>
      <w:r>
        <w:t>(1.. 65535),</w:t>
      </w:r>
    </w:p>
    <w:p w14:paraId="3B154BA0" w14:textId="77777777" w:rsidR="008560D0" w:rsidRDefault="00000000">
      <w:pPr>
        <w:pStyle w:val="PL"/>
      </w:pPr>
      <w:r>
        <w:t xml:space="preserve">            distanceThreshFromReference2-r18            </w:t>
      </w:r>
      <w:r>
        <w:rPr>
          <w:color w:val="993366"/>
        </w:rPr>
        <w:t>INTEGER</w:t>
      </w:r>
      <w:r>
        <w:t>(1.. 65535),</w:t>
      </w:r>
    </w:p>
    <w:p w14:paraId="3B02FCA3" w14:textId="77777777" w:rsidR="008560D0" w:rsidRDefault="00000000">
      <w:pPr>
        <w:pStyle w:val="PL"/>
      </w:pPr>
      <w:r>
        <w:t xml:space="preserve">            reportOnLeave-r18                           </w:t>
      </w:r>
      <w:r>
        <w:rPr>
          <w:color w:val="993366"/>
        </w:rPr>
        <w:t>BOOLEAN</w:t>
      </w:r>
      <w:r>
        <w:t>,</w:t>
      </w:r>
    </w:p>
    <w:p w14:paraId="7CA2C5F0" w14:textId="77777777" w:rsidR="008560D0" w:rsidRDefault="00000000">
      <w:pPr>
        <w:pStyle w:val="PL"/>
      </w:pPr>
      <w:r>
        <w:t xml:space="preserve">            hysteresisLocation-r18                      HysteresisLocation-r17,</w:t>
      </w:r>
    </w:p>
    <w:p w14:paraId="0B908865" w14:textId="77777777" w:rsidR="008560D0" w:rsidRDefault="00000000">
      <w:pPr>
        <w:pStyle w:val="PL"/>
      </w:pPr>
      <w:r>
        <w:t xml:space="preserve">            timeToTrigger-r18                           TimeToTrigger</w:t>
      </w:r>
    </w:p>
    <w:p w14:paraId="42CD3613" w14:textId="77777777" w:rsidR="008560D0" w:rsidRDefault="00000000">
      <w:pPr>
        <w:pStyle w:val="PL"/>
      </w:pPr>
      <w:r>
        <w:t xml:space="preserve">        }</w:t>
      </w:r>
    </w:p>
    <w:p w14:paraId="55A05742" w14:textId="77777777" w:rsidR="008560D0" w:rsidRDefault="00000000">
      <w:pPr>
        <w:pStyle w:val="PL"/>
      </w:pPr>
      <w:r>
        <w:t xml:space="preserve">        ]]</w:t>
      </w:r>
    </w:p>
    <w:p w14:paraId="03406F73" w14:textId="77777777" w:rsidR="008560D0" w:rsidRDefault="00000000">
      <w:pPr>
        <w:pStyle w:val="PL"/>
      </w:pPr>
      <w:r>
        <w:t xml:space="preserve">    },</w:t>
      </w:r>
    </w:p>
    <w:p w14:paraId="5A00348A" w14:textId="77777777" w:rsidR="008560D0" w:rsidRDefault="00000000">
      <w:pPr>
        <w:pStyle w:val="PL"/>
      </w:pPr>
      <w:r>
        <w:t xml:space="preserve">    rsType                                      NR-RS-Type,</w:t>
      </w:r>
    </w:p>
    <w:p w14:paraId="54EC80F4" w14:textId="77777777" w:rsidR="008560D0" w:rsidRDefault="00000000">
      <w:pPr>
        <w:pStyle w:val="PL"/>
      </w:pPr>
      <w:r>
        <w:t xml:space="preserve">    reportInterval                              ReportInterval,</w:t>
      </w:r>
    </w:p>
    <w:p w14:paraId="101BF3ED" w14:textId="77777777" w:rsidR="008560D0" w:rsidRDefault="00000000">
      <w:pPr>
        <w:pStyle w:val="PL"/>
      </w:pPr>
      <w:r>
        <w:t xml:space="preserve">    reportAmount                                </w:t>
      </w:r>
      <w:r>
        <w:rPr>
          <w:color w:val="993366"/>
        </w:rPr>
        <w:t>ENUMERATED</w:t>
      </w:r>
      <w:r>
        <w:t xml:space="preserve"> {r1, r2, r4, r8, r16, r32, r64, infinity},</w:t>
      </w:r>
    </w:p>
    <w:p w14:paraId="1B697210" w14:textId="77777777" w:rsidR="008560D0" w:rsidRDefault="00000000">
      <w:pPr>
        <w:pStyle w:val="PL"/>
      </w:pPr>
      <w:r>
        <w:t xml:space="preserve">    reportQuantityCell                          MeasReportQuantity,</w:t>
      </w:r>
    </w:p>
    <w:p w14:paraId="374994AC" w14:textId="77777777" w:rsidR="008560D0" w:rsidRDefault="00000000">
      <w:pPr>
        <w:pStyle w:val="PL"/>
      </w:pPr>
      <w:r>
        <w:t xml:space="preserve">    maxReportCells                              </w:t>
      </w:r>
      <w:r>
        <w:rPr>
          <w:color w:val="993366"/>
        </w:rPr>
        <w:t>INTEGER</w:t>
      </w:r>
      <w:r>
        <w:t xml:space="preserve"> (1..maxCellReport),</w:t>
      </w:r>
    </w:p>
    <w:p w14:paraId="1CD9618E" w14:textId="77777777" w:rsidR="008560D0" w:rsidRDefault="00000000">
      <w:pPr>
        <w:pStyle w:val="PL"/>
        <w:rPr>
          <w:color w:val="808080"/>
        </w:rPr>
      </w:pPr>
      <w:r>
        <w:t xml:space="preserve">    reportQuantityRS-Indexes                     MeasReportQuantity                                            </w:t>
      </w:r>
      <w:r>
        <w:rPr>
          <w:color w:val="993366"/>
        </w:rPr>
        <w:t>OPTIONAL</w:t>
      </w:r>
      <w:r>
        <w:t xml:space="preserve">,   </w:t>
      </w:r>
      <w:r>
        <w:rPr>
          <w:color w:val="808080"/>
        </w:rPr>
        <w:t>-- Need R</w:t>
      </w:r>
    </w:p>
    <w:p w14:paraId="5A803A9C" w14:textId="77777777" w:rsidR="008560D0" w:rsidRDefault="00000000">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04554B17" w14:textId="77777777" w:rsidR="008560D0" w:rsidRDefault="00000000">
      <w:pPr>
        <w:pStyle w:val="PL"/>
      </w:pPr>
      <w:r>
        <w:t xml:space="preserve">    includeBeamMeasurements                     </w:t>
      </w:r>
      <w:r>
        <w:rPr>
          <w:color w:val="993366"/>
        </w:rPr>
        <w:t>BOOLEAN</w:t>
      </w:r>
      <w:r>
        <w:t>,</w:t>
      </w:r>
    </w:p>
    <w:p w14:paraId="572E71B8" w14:textId="77777777" w:rsidR="008560D0" w:rsidRDefault="00000000">
      <w:pPr>
        <w:pStyle w:val="PL"/>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14:paraId="2BCD7ACF" w14:textId="77777777" w:rsidR="008560D0" w:rsidRDefault="00000000">
      <w:pPr>
        <w:pStyle w:val="PL"/>
      </w:pPr>
      <w:r>
        <w:t xml:space="preserve">    ...,</w:t>
      </w:r>
    </w:p>
    <w:p w14:paraId="04ED1E4F" w14:textId="77777777" w:rsidR="008560D0" w:rsidRDefault="00000000">
      <w:pPr>
        <w:pStyle w:val="PL"/>
      </w:pPr>
      <w:r>
        <w:t xml:space="preserve">    [[</w:t>
      </w:r>
    </w:p>
    <w:p w14:paraId="17B07EA4" w14:textId="77777777" w:rsidR="008560D0" w:rsidRDefault="00000000">
      <w:pPr>
        <w:pStyle w:val="PL"/>
        <w:rPr>
          <w:color w:val="808080"/>
        </w:rPr>
      </w:pPr>
      <w:r>
        <w:t xml:space="preserve">    measRSSI-ReportConfig-r16                   MeasRSSI-ReportConfig-r16                                      </w:t>
      </w:r>
      <w:r>
        <w:rPr>
          <w:color w:val="993366"/>
        </w:rPr>
        <w:t>OPTIONAL</w:t>
      </w:r>
      <w:r>
        <w:t xml:space="preserve">,   </w:t>
      </w:r>
      <w:r>
        <w:rPr>
          <w:color w:val="808080"/>
        </w:rPr>
        <w:t>-- Need R</w:t>
      </w:r>
    </w:p>
    <w:p w14:paraId="68F7070F" w14:textId="77777777" w:rsidR="008560D0" w:rsidRDefault="00000000">
      <w:pPr>
        <w:pStyle w:val="PL"/>
        <w:rPr>
          <w:color w:val="808080"/>
        </w:rPr>
      </w:pPr>
      <w:r>
        <w:t xml:space="preserve">    useT312-r16                                 </w:t>
      </w:r>
      <w:r>
        <w:rPr>
          <w:color w:val="993366"/>
        </w:rPr>
        <w:t>BOOLEAN</w:t>
      </w:r>
      <w:r>
        <w:t xml:space="preserve">                                                        </w:t>
      </w:r>
      <w:r>
        <w:rPr>
          <w:color w:val="993366"/>
        </w:rPr>
        <w:t>OPTIONAL</w:t>
      </w:r>
      <w:r>
        <w:t xml:space="preserve">,   </w:t>
      </w:r>
      <w:r>
        <w:rPr>
          <w:color w:val="808080"/>
        </w:rPr>
        <w:t>-- Need M</w:t>
      </w:r>
    </w:p>
    <w:p w14:paraId="67D6AE1A" w14:textId="77777777" w:rsidR="008560D0" w:rsidRDefault="0000000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31E20B9D" w14:textId="77777777" w:rsidR="008560D0" w:rsidRDefault="00000000">
      <w:pPr>
        <w:pStyle w:val="PL"/>
        <w:rPr>
          <w:color w:val="808080"/>
        </w:rPr>
      </w:pPr>
      <w:r>
        <w:t xml:space="preserve">    includeBT-Meas-r16                          SetupRelease {BT-NameList-r16}                                 </w:t>
      </w:r>
      <w:r>
        <w:rPr>
          <w:color w:val="993366"/>
        </w:rPr>
        <w:t>OPTIONAL</w:t>
      </w:r>
      <w:r>
        <w:t xml:space="preserve">,   </w:t>
      </w:r>
      <w:r>
        <w:rPr>
          <w:color w:val="808080"/>
        </w:rPr>
        <w:t>-- Need M</w:t>
      </w:r>
    </w:p>
    <w:p w14:paraId="47E45CA7" w14:textId="77777777" w:rsidR="008560D0" w:rsidRDefault="00000000">
      <w:pPr>
        <w:pStyle w:val="PL"/>
        <w:rPr>
          <w:color w:val="808080"/>
        </w:rPr>
      </w:pPr>
      <w:r>
        <w:t xml:space="preserve">    includeWLAN-Meas-r16                        SetupRelease {WLAN-NameList-r16}                               </w:t>
      </w:r>
      <w:r>
        <w:rPr>
          <w:color w:val="993366"/>
        </w:rPr>
        <w:t>OPTIONAL</w:t>
      </w:r>
      <w:r>
        <w:t xml:space="preserve">,   </w:t>
      </w:r>
      <w:r>
        <w:rPr>
          <w:color w:val="808080"/>
        </w:rPr>
        <w:t>-- Need M</w:t>
      </w:r>
    </w:p>
    <w:p w14:paraId="1EC34B9C" w14:textId="77777777" w:rsidR="008560D0" w:rsidRDefault="00000000">
      <w:pPr>
        <w:pStyle w:val="PL"/>
        <w:rPr>
          <w:color w:val="808080"/>
        </w:rPr>
      </w:pPr>
      <w:r>
        <w:t xml:space="preserve">    includeSensor-Meas-r16                      SetupRelease {Sensor-NameList-r16}                             </w:t>
      </w:r>
      <w:r>
        <w:rPr>
          <w:color w:val="993366"/>
        </w:rPr>
        <w:t>OPTIONAL</w:t>
      </w:r>
      <w:r>
        <w:t xml:space="preserve">    </w:t>
      </w:r>
      <w:r>
        <w:rPr>
          <w:color w:val="808080"/>
        </w:rPr>
        <w:t>-- Need M</w:t>
      </w:r>
    </w:p>
    <w:p w14:paraId="45386A73" w14:textId="77777777" w:rsidR="008560D0" w:rsidRDefault="00000000">
      <w:pPr>
        <w:pStyle w:val="PL"/>
      </w:pPr>
      <w:r>
        <w:t xml:space="preserve">    ]],</w:t>
      </w:r>
    </w:p>
    <w:p w14:paraId="2058A242" w14:textId="77777777" w:rsidR="008560D0" w:rsidRDefault="00000000">
      <w:pPr>
        <w:pStyle w:val="PL"/>
      </w:pPr>
      <w:r>
        <w:t xml:space="preserve">    [[</w:t>
      </w:r>
    </w:p>
    <w:p w14:paraId="035587B6" w14:textId="77777777" w:rsidR="008560D0" w:rsidRDefault="00000000">
      <w:pPr>
        <w:pStyle w:val="PL"/>
        <w:rPr>
          <w:color w:val="808080"/>
        </w:rPr>
      </w:pPr>
      <w:r>
        <w:lastRenderedPageBreak/>
        <w:t xml:space="preserve">    coarseLocationRequest-r17                   </w:t>
      </w:r>
      <w:r>
        <w:rPr>
          <w:color w:val="993366"/>
        </w:rPr>
        <w:t>ENUMERATED</w:t>
      </w:r>
      <w:r>
        <w:t xml:space="preserve"> {true}                                              </w:t>
      </w:r>
      <w:r>
        <w:rPr>
          <w:color w:val="993366"/>
        </w:rPr>
        <w:t>OPTIONAL</w:t>
      </w:r>
      <w:r>
        <w:t xml:space="preserve">,   </w:t>
      </w:r>
      <w:r>
        <w:rPr>
          <w:color w:val="808080"/>
        </w:rPr>
        <w:t>-- Need R</w:t>
      </w:r>
    </w:p>
    <w:p w14:paraId="0343FA68" w14:textId="77777777" w:rsidR="008560D0" w:rsidRDefault="00000000">
      <w:pPr>
        <w:pStyle w:val="PL"/>
        <w:rPr>
          <w:color w:val="808080"/>
        </w:rPr>
      </w:pPr>
      <w:r>
        <w:t xml:space="preserve">    reportQuantityRelay-r17                     SL-MeasReportQuantity-r16                                      </w:t>
      </w:r>
      <w:r>
        <w:rPr>
          <w:color w:val="993366"/>
        </w:rPr>
        <w:t>OPTIONAL</w:t>
      </w:r>
      <w:r>
        <w:t xml:space="preserve">    </w:t>
      </w:r>
      <w:r>
        <w:rPr>
          <w:color w:val="808080"/>
        </w:rPr>
        <w:t>-- Need R</w:t>
      </w:r>
    </w:p>
    <w:p w14:paraId="61EA1E7A" w14:textId="77777777" w:rsidR="008560D0" w:rsidRDefault="00000000">
      <w:pPr>
        <w:pStyle w:val="PL"/>
      </w:pPr>
      <w:r>
        <w:t xml:space="preserve">    ]],</w:t>
      </w:r>
    </w:p>
    <w:p w14:paraId="6DA01F16" w14:textId="77777777" w:rsidR="008560D0" w:rsidRDefault="00000000">
      <w:pPr>
        <w:pStyle w:val="PL"/>
      </w:pPr>
      <w:r>
        <w:t xml:space="preserve">    [[</w:t>
      </w:r>
    </w:p>
    <w:p w14:paraId="32D58DFF" w14:textId="77777777" w:rsidR="008560D0" w:rsidRDefault="00000000">
      <w:pPr>
        <w:pStyle w:val="PL"/>
        <w:rPr>
          <w:color w:val="808080"/>
        </w:rPr>
      </w:pPr>
      <w:r>
        <w:t xml:space="preserve">    numberOfTriggeringCells-r18                 </w:t>
      </w:r>
      <w:r>
        <w:rPr>
          <w:color w:val="993366"/>
        </w:rPr>
        <w:t>INTEGER</w:t>
      </w:r>
      <w:r>
        <w:t xml:space="preserve"> (2..maxCellReport)                                     </w:t>
      </w:r>
      <w:r>
        <w:rPr>
          <w:color w:val="993366"/>
        </w:rPr>
        <w:t>OPTIONAL</w:t>
      </w:r>
      <w:r>
        <w:t xml:space="preserve">,   </w:t>
      </w:r>
      <w:r>
        <w:rPr>
          <w:color w:val="808080"/>
        </w:rPr>
        <w:t>-- Need R</w:t>
      </w:r>
    </w:p>
    <w:p w14:paraId="45B544FB" w14:textId="77777777" w:rsidR="008560D0" w:rsidRDefault="00000000">
      <w:pPr>
        <w:pStyle w:val="PL"/>
        <w:rPr>
          <w:color w:val="808080"/>
        </w:rPr>
      </w:pPr>
      <w:r>
        <w:t xml:space="preserve">    cellIndividualOffsetList-r18                </w:t>
      </w:r>
      <w:r>
        <w:rPr>
          <w:color w:val="993366"/>
        </w:rPr>
        <w:t>SEQUENCE</w:t>
      </w:r>
      <w:r>
        <w:t xml:space="preserve"> (</w:t>
      </w:r>
      <w:r>
        <w:rPr>
          <w:color w:val="993366"/>
        </w:rPr>
        <w:t>SIZE</w:t>
      </w:r>
      <w:r>
        <w:t xml:space="preserve"> (1..maxNrofCellMeas))</w:t>
      </w:r>
      <w:r>
        <w:rPr>
          <w:color w:val="993366"/>
        </w:rPr>
        <w:t xml:space="preserve"> OF</w:t>
      </w:r>
      <w:r>
        <w:t xml:space="preserve"> CellIndividualOffsetList-r18 </w:t>
      </w:r>
      <w:r>
        <w:rPr>
          <w:color w:val="993366"/>
        </w:rPr>
        <w:t>OPTIONAL</w:t>
      </w:r>
      <w:r>
        <w:t xml:space="preserve">, </w:t>
      </w:r>
      <w:r>
        <w:rPr>
          <w:color w:val="808080"/>
        </w:rPr>
        <w:t>-- Need R</w:t>
      </w:r>
    </w:p>
    <w:p w14:paraId="562426C0" w14:textId="77777777" w:rsidR="008560D0" w:rsidRDefault="00000000">
      <w:pPr>
        <w:pStyle w:val="PL"/>
        <w:rPr>
          <w:color w:val="808080"/>
        </w:rPr>
      </w:pPr>
      <w:r>
        <w:t xml:space="preserve">    eventX1-SD-Threshold1-r18                   SL-MeasTriggerQuantity-r16                                     </w:t>
      </w:r>
      <w:r>
        <w:rPr>
          <w:color w:val="993366"/>
        </w:rPr>
        <w:t>OPTIONAL</w:t>
      </w:r>
      <w:r>
        <w:t xml:space="preserve">,   </w:t>
      </w:r>
      <w:r>
        <w:rPr>
          <w:color w:val="808080"/>
        </w:rPr>
        <w:t>-- Need S</w:t>
      </w:r>
    </w:p>
    <w:p w14:paraId="43EF7E39" w14:textId="77777777" w:rsidR="008560D0" w:rsidRDefault="00000000">
      <w:pPr>
        <w:pStyle w:val="PL"/>
        <w:rPr>
          <w:color w:val="808080"/>
        </w:rPr>
      </w:pPr>
      <w:r>
        <w:t xml:space="preserve">    eventX2-SD-Threshold-r18                    SL-MeasTriggerQuantity-r16                                     </w:t>
      </w:r>
      <w:r>
        <w:rPr>
          <w:color w:val="993366"/>
        </w:rPr>
        <w:t>OPTIONAL</w:t>
      </w:r>
      <w:r>
        <w:t xml:space="preserve">,   </w:t>
      </w:r>
      <w:r>
        <w:rPr>
          <w:color w:val="808080"/>
        </w:rPr>
        <w:t>-- Need S</w:t>
      </w:r>
    </w:p>
    <w:p w14:paraId="55CA2ED1" w14:textId="77777777" w:rsidR="008560D0" w:rsidRDefault="00000000">
      <w:pPr>
        <w:pStyle w:val="PL"/>
        <w:rPr>
          <w:color w:val="808080"/>
        </w:rPr>
      </w:pPr>
      <w:r>
        <w:t xml:space="preserve">    reportOnBestCellChange-r18                  </w:t>
      </w:r>
      <w:r>
        <w:rPr>
          <w:color w:val="993366"/>
        </w:rPr>
        <w:t>ENUMERATED</w:t>
      </w:r>
      <w:r>
        <w:t xml:space="preserve"> {n1, n2}                                            </w:t>
      </w:r>
      <w:r>
        <w:rPr>
          <w:color w:val="993366"/>
        </w:rPr>
        <w:t>OPTIONAL</w:t>
      </w:r>
      <w:r>
        <w:t xml:space="preserve">,    </w:t>
      </w:r>
      <w:r>
        <w:rPr>
          <w:color w:val="808080"/>
        </w:rPr>
        <w:t>-- Need R</w:t>
      </w:r>
    </w:p>
    <w:p w14:paraId="4872E729" w14:textId="77777777" w:rsidR="008560D0" w:rsidRDefault="00000000">
      <w:pPr>
        <w:pStyle w:val="PL"/>
        <w:rPr>
          <w:color w:val="808080"/>
        </w:rPr>
      </w:pPr>
      <w:r>
        <w:t xml:space="preserve">    enteringLeavingReport-r18                   </w:t>
      </w:r>
      <w:r>
        <w:rPr>
          <w:color w:val="993366"/>
        </w:rPr>
        <w:t>ENUMERATED</w:t>
      </w:r>
      <w:r>
        <w:t xml:space="preserve"> {true}                                              </w:t>
      </w:r>
      <w:r>
        <w:rPr>
          <w:color w:val="993366"/>
        </w:rPr>
        <w:t>OPTIONAL</w:t>
      </w:r>
      <w:r>
        <w:t xml:space="preserve">     </w:t>
      </w:r>
      <w:r>
        <w:rPr>
          <w:color w:val="808080"/>
        </w:rPr>
        <w:t>-- Need R</w:t>
      </w:r>
    </w:p>
    <w:p w14:paraId="7B1AE48F" w14:textId="77777777" w:rsidR="008560D0" w:rsidRDefault="00000000">
      <w:pPr>
        <w:pStyle w:val="PL"/>
      </w:pPr>
      <w:r>
        <w:t xml:space="preserve">    ]]</w:t>
      </w:r>
    </w:p>
    <w:p w14:paraId="51BF4BE4" w14:textId="77777777" w:rsidR="008560D0" w:rsidRDefault="00000000">
      <w:pPr>
        <w:pStyle w:val="PL"/>
      </w:pPr>
      <w:r>
        <w:t>}</w:t>
      </w:r>
    </w:p>
    <w:p w14:paraId="32CF531A" w14:textId="77777777" w:rsidR="008560D0" w:rsidRDefault="008560D0">
      <w:pPr>
        <w:pStyle w:val="PL"/>
      </w:pPr>
    </w:p>
    <w:p w14:paraId="56B3EE27" w14:textId="77777777" w:rsidR="008560D0" w:rsidRDefault="00000000">
      <w:pPr>
        <w:pStyle w:val="PL"/>
        <w:rPr>
          <w:color w:val="808080"/>
        </w:rPr>
      </w:pPr>
      <w:r>
        <w:rPr>
          <w:color w:val="808080"/>
        </w:rPr>
        <w:t>-- TAG-REPORTCONFIGNR-STOP</w:t>
      </w:r>
    </w:p>
    <w:p w14:paraId="4FC4229D" w14:textId="77777777" w:rsidR="008560D0" w:rsidRDefault="00000000">
      <w:pPr>
        <w:pStyle w:val="PL"/>
        <w:rPr>
          <w:color w:val="808080"/>
        </w:rPr>
      </w:pPr>
      <w:r>
        <w:rPr>
          <w:color w:val="808080"/>
        </w:rPr>
        <w:t>-- ASN1STOP</w:t>
      </w:r>
    </w:p>
    <w:tbl>
      <w:tblPr>
        <w:tblpPr w:leftFromText="180" w:rightFromText="180" w:vertAnchor="text" w:horzAnchor="margin" w:tblpY="7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560D0" w14:paraId="3D0314C1" w14:textId="77777777">
        <w:tc>
          <w:tcPr>
            <w:tcW w:w="5000" w:type="pct"/>
            <w:tcBorders>
              <w:top w:val="single" w:sz="4" w:space="0" w:color="auto"/>
              <w:left w:val="single" w:sz="4" w:space="0" w:color="auto"/>
              <w:bottom w:val="single" w:sz="4" w:space="0" w:color="auto"/>
              <w:right w:val="single" w:sz="4" w:space="0" w:color="auto"/>
            </w:tcBorders>
          </w:tcPr>
          <w:p w14:paraId="35E8BF63" w14:textId="77777777" w:rsidR="008560D0" w:rsidRDefault="00000000">
            <w:pPr>
              <w:pStyle w:val="TAH"/>
              <w:jc w:val="left"/>
              <w:rPr>
                <w:lang w:eastAsia="sv-SE"/>
              </w:rPr>
            </w:pPr>
            <w:r>
              <w:rPr>
                <w:i/>
                <w:lang w:eastAsia="sv-SE"/>
              </w:rPr>
              <w:t xml:space="preserve">CondTriggerConfig </w:t>
            </w:r>
            <w:r>
              <w:rPr>
                <w:lang w:eastAsia="sv-SE"/>
              </w:rPr>
              <w:t>field descriptions</w:t>
            </w:r>
          </w:p>
        </w:tc>
      </w:tr>
      <w:tr w:rsidR="008560D0" w14:paraId="6B77AEE5" w14:textId="77777777">
        <w:tc>
          <w:tcPr>
            <w:tcW w:w="5000" w:type="pct"/>
            <w:tcBorders>
              <w:top w:val="single" w:sz="4" w:space="0" w:color="auto"/>
              <w:left w:val="single" w:sz="4" w:space="0" w:color="auto"/>
              <w:bottom w:val="single" w:sz="4" w:space="0" w:color="auto"/>
              <w:right w:val="single" w:sz="4" w:space="0" w:color="auto"/>
            </w:tcBorders>
          </w:tcPr>
          <w:p w14:paraId="3A3FF725" w14:textId="77777777" w:rsidR="008560D0" w:rsidRDefault="00000000">
            <w:pPr>
              <w:pStyle w:val="TAL"/>
              <w:rPr>
                <w:b/>
                <w:i/>
                <w:lang w:val="en-US" w:eastAsia="en-GB"/>
              </w:rPr>
            </w:pPr>
            <w:r>
              <w:rPr>
                <w:b/>
                <w:i/>
                <w:lang w:val="en-US" w:eastAsia="en-GB"/>
              </w:rPr>
              <w:t>a4-Threshold</w:t>
            </w:r>
          </w:p>
          <w:p w14:paraId="42F927C6" w14:textId="77777777" w:rsidR="008560D0" w:rsidRDefault="00000000">
            <w:pPr>
              <w:pStyle w:val="TAL"/>
              <w:rPr>
                <w:lang w:val="en-US" w:eastAsia="en-GB"/>
              </w:rPr>
            </w:pPr>
            <w:r>
              <w:rPr>
                <w:lang w:val="en-US" w:eastAsia="en-GB"/>
              </w:rPr>
              <w:t>Threshold value associated to the selected trigger quantity (e.g. RSRP, RSRQ, SINR) per RS Type (e.g. SS/PBCH block, CSI-RS) to be used in NR conditional reconfiguration triggering condition for cond event a4.</w:t>
            </w:r>
          </w:p>
        </w:tc>
      </w:tr>
      <w:tr w:rsidR="008560D0" w14:paraId="0D8BA241" w14:textId="77777777">
        <w:tc>
          <w:tcPr>
            <w:tcW w:w="5000" w:type="pct"/>
            <w:tcBorders>
              <w:top w:val="single" w:sz="4" w:space="0" w:color="auto"/>
              <w:left w:val="single" w:sz="4" w:space="0" w:color="auto"/>
              <w:bottom w:val="single" w:sz="4" w:space="0" w:color="auto"/>
              <w:right w:val="single" w:sz="4" w:space="0" w:color="auto"/>
            </w:tcBorders>
          </w:tcPr>
          <w:p w14:paraId="697D6A78" w14:textId="77777777" w:rsidR="008560D0" w:rsidRDefault="00000000">
            <w:pPr>
              <w:pStyle w:val="TAL"/>
              <w:rPr>
                <w:b/>
                <w:i/>
                <w:lang w:val="en-US" w:eastAsia="ko-KR"/>
              </w:rPr>
            </w:pPr>
            <w:r>
              <w:rPr>
                <w:b/>
                <w:i/>
                <w:lang w:val="en-US" w:eastAsia="ko-KR"/>
              </w:rPr>
              <w:t>a5-Threshold1/ a5-Threshold2</w:t>
            </w:r>
          </w:p>
          <w:p w14:paraId="0B6A715D" w14:textId="77777777" w:rsidR="008560D0" w:rsidRDefault="00000000">
            <w:pPr>
              <w:pStyle w:val="TAL"/>
              <w:rPr>
                <w:b/>
                <w:i/>
                <w:lang w:val="en-US" w:eastAsia="en-GB"/>
              </w:rPr>
            </w:pPr>
            <w:r>
              <w:rPr>
                <w:lang w:val="en-US" w:eastAsia="ko-KR"/>
              </w:rPr>
              <w:t>Threshold value associated to the selected trigger quantity (e.g. RSRP, RSRQ, SINR) per RS Type (e.g. SS/PBCH block, CSI-RS) to be used in NR conditional reconfiguration triggering condition for cond event a5.</w:t>
            </w:r>
            <w:r>
              <w:rPr>
                <w:lang w:val="en-US" w:eastAsia="sv-SE"/>
              </w:rPr>
              <w:t xml:space="preserve"> In the same </w:t>
            </w:r>
            <w:r>
              <w:rPr>
                <w:i/>
                <w:lang w:val="en-US" w:eastAsia="sv-SE"/>
              </w:rPr>
              <w:t>condeventA5</w:t>
            </w:r>
            <w:r>
              <w:rPr>
                <w:lang w:val="en-US" w:eastAsia="sv-SE"/>
              </w:rPr>
              <w:t xml:space="preserve">, the network configures the same quantity for the </w:t>
            </w:r>
            <w:r>
              <w:rPr>
                <w:i/>
                <w:lang w:val="en-US" w:eastAsia="sv-SE"/>
              </w:rPr>
              <w:t>MeasTriggerQuantity</w:t>
            </w:r>
            <w:r>
              <w:rPr>
                <w:lang w:val="en-US" w:eastAsia="sv-SE"/>
              </w:rPr>
              <w:t xml:space="preserve"> of the </w:t>
            </w:r>
            <w:r>
              <w:rPr>
                <w:i/>
                <w:lang w:val="en-US" w:eastAsia="sv-SE"/>
              </w:rPr>
              <w:t>a5-Threshold1</w:t>
            </w:r>
            <w:r>
              <w:rPr>
                <w:lang w:val="en-US" w:eastAsia="sv-SE"/>
              </w:rPr>
              <w:t xml:space="preserve"> and for the </w:t>
            </w:r>
            <w:r>
              <w:rPr>
                <w:i/>
                <w:lang w:val="en-US" w:eastAsia="sv-SE"/>
              </w:rPr>
              <w:t>MeasTriggerQuantity</w:t>
            </w:r>
            <w:r>
              <w:rPr>
                <w:lang w:val="en-US" w:eastAsia="sv-SE"/>
              </w:rPr>
              <w:t xml:space="preserve"> of the </w:t>
            </w:r>
            <w:r>
              <w:rPr>
                <w:i/>
                <w:lang w:val="en-US" w:eastAsia="sv-SE"/>
              </w:rPr>
              <w:t>a5-Threshold2</w:t>
            </w:r>
            <w:r>
              <w:rPr>
                <w:lang w:val="en-US" w:eastAsia="sv-SE"/>
              </w:rPr>
              <w:t>.</w:t>
            </w:r>
          </w:p>
        </w:tc>
      </w:tr>
      <w:tr w:rsidR="008560D0" w14:paraId="3E166EFE" w14:textId="77777777">
        <w:tc>
          <w:tcPr>
            <w:tcW w:w="5000" w:type="pct"/>
            <w:tcBorders>
              <w:top w:val="single" w:sz="4" w:space="0" w:color="auto"/>
              <w:left w:val="single" w:sz="4" w:space="0" w:color="auto"/>
              <w:bottom w:val="single" w:sz="4" w:space="0" w:color="auto"/>
              <w:right w:val="single" w:sz="4" w:space="0" w:color="auto"/>
            </w:tcBorders>
          </w:tcPr>
          <w:p w14:paraId="40DC4432" w14:textId="77777777" w:rsidR="008560D0" w:rsidRDefault="00000000">
            <w:pPr>
              <w:pStyle w:val="TAL"/>
              <w:rPr>
                <w:b/>
                <w:i/>
                <w:lang w:val="en-US" w:eastAsia="en-GB"/>
              </w:rPr>
            </w:pPr>
            <w:r>
              <w:rPr>
                <w:b/>
                <w:i/>
                <w:lang w:val="en-US" w:eastAsia="en-GB"/>
              </w:rPr>
              <w:t>condEventId</w:t>
            </w:r>
          </w:p>
          <w:p w14:paraId="5D310EED" w14:textId="77777777" w:rsidR="008560D0" w:rsidRDefault="00000000">
            <w:pPr>
              <w:pStyle w:val="TAL"/>
              <w:rPr>
                <w:lang w:val="en-US" w:eastAsia="sv-SE"/>
              </w:rPr>
            </w:pPr>
            <w:r>
              <w:rPr>
                <w:lang w:val="en-US" w:eastAsia="en-GB"/>
              </w:rPr>
              <w:t>Choice of NR conditional reconfiguration event triggered criteria.</w:t>
            </w:r>
          </w:p>
        </w:tc>
      </w:tr>
      <w:tr w:rsidR="008560D0" w14:paraId="0C5451FC" w14:textId="77777777">
        <w:tc>
          <w:tcPr>
            <w:tcW w:w="5000" w:type="pct"/>
            <w:tcBorders>
              <w:top w:val="single" w:sz="4" w:space="0" w:color="auto"/>
              <w:left w:val="single" w:sz="4" w:space="0" w:color="auto"/>
              <w:bottom w:val="single" w:sz="4" w:space="0" w:color="auto"/>
              <w:right w:val="single" w:sz="4" w:space="0" w:color="auto"/>
            </w:tcBorders>
          </w:tcPr>
          <w:p w14:paraId="7DACD864" w14:textId="77777777" w:rsidR="008560D0" w:rsidRDefault="00000000">
            <w:pPr>
              <w:pStyle w:val="TAL"/>
              <w:rPr>
                <w:b/>
                <w:i/>
                <w:highlight w:val="cyan"/>
                <w:lang w:val="en-US" w:eastAsia="en-GB"/>
              </w:rPr>
            </w:pPr>
            <w:r>
              <w:rPr>
                <w:b/>
                <w:i/>
                <w:highlight w:val="cyan"/>
                <w:lang w:val="en-US" w:eastAsia="en-GB"/>
              </w:rPr>
              <w:t>distanceThreshFromReference1, distanceThreshFromReference2</w:t>
            </w:r>
          </w:p>
          <w:p w14:paraId="6AF67786" w14:textId="77777777" w:rsidR="008560D0" w:rsidRDefault="00000000">
            <w:pPr>
              <w:pStyle w:val="TAL"/>
              <w:rPr>
                <w:b/>
                <w:i/>
                <w:lang w:eastAsia="en-GB"/>
              </w:rPr>
            </w:pPr>
            <w:r>
              <w:rPr>
                <w:lang w:val="en-US" w:eastAsia="ko-KR"/>
              </w:rPr>
              <w:t xml:space="preserve">Distance from a fixed reference location configured with </w:t>
            </w:r>
            <w:r>
              <w:rPr>
                <w:i/>
                <w:iCs/>
                <w:lang w:val="en-US" w:eastAsia="ko-KR"/>
              </w:rPr>
              <w:t>referenceLocation1</w:t>
            </w:r>
            <w:r>
              <w:rPr>
                <w:lang w:val="en-US" w:eastAsia="ko-KR"/>
              </w:rPr>
              <w:t xml:space="preserve"> or </w:t>
            </w:r>
            <w:r>
              <w:rPr>
                <w:i/>
                <w:iCs/>
                <w:lang w:val="en-US" w:eastAsia="ko-KR"/>
              </w:rPr>
              <w:t>referenceLocation2</w:t>
            </w:r>
            <w:r>
              <w:rPr>
                <w:lang w:val="en-US" w:eastAsia="ko-KR"/>
              </w:rPr>
              <w:t xml:space="preserve"> for </w:t>
            </w:r>
            <w:r>
              <w:rPr>
                <w:i/>
                <w:iCs/>
                <w:lang w:val="en-US" w:eastAsia="ko-KR"/>
              </w:rPr>
              <w:t>condEventD1</w:t>
            </w:r>
            <w:r>
              <w:rPr>
                <w:lang w:val="en-US" w:eastAsia="ko-KR"/>
              </w:rPr>
              <w:t xml:space="preserve">. Distance from a moving reference location determined by the UE based on the serving cell </w:t>
            </w:r>
            <w:r>
              <w:rPr>
                <w:i/>
                <w:iCs/>
                <w:lang w:val="en-US" w:eastAsia="ko-KR"/>
              </w:rPr>
              <w:t>movingReferenceLocation</w:t>
            </w:r>
            <w:r>
              <w:rPr>
                <w:lang w:val="en-US" w:eastAsia="ko-KR"/>
              </w:rPr>
              <w:t xml:space="preserve"> broadcast in </w:t>
            </w:r>
            <w:r>
              <w:rPr>
                <w:i/>
                <w:iCs/>
                <w:lang w:val="en-US" w:eastAsia="ko-KR"/>
              </w:rPr>
              <w:t>SIB19</w:t>
            </w:r>
            <w:r>
              <w:rPr>
                <w:lang w:val="en-US" w:eastAsia="ko-KR"/>
              </w:rPr>
              <w:t xml:space="preserve"> or </w:t>
            </w:r>
            <w:r>
              <w:rPr>
                <w:i/>
                <w:iCs/>
                <w:lang w:val="en-US" w:eastAsia="ko-KR"/>
              </w:rPr>
              <w:t>referenceLocation</w:t>
            </w:r>
            <w:r>
              <w:rPr>
                <w:lang w:val="en-US"/>
              </w:rPr>
              <w:t xml:space="preserve"> and the corresponding epoch time and satellite ephemeris configured within the </w:t>
            </w:r>
            <w:r>
              <w:rPr>
                <w:i/>
                <w:iCs/>
                <w:lang w:val="en-US"/>
              </w:rPr>
              <w:t>MeasObjectNR</w:t>
            </w:r>
            <w:r>
              <w:rPr>
                <w:lang w:val="en-US"/>
              </w:rPr>
              <w:t xml:space="preserve"> associated to the event for </w:t>
            </w:r>
            <w:r>
              <w:rPr>
                <w:i/>
                <w:iCs/>
                <w:lang w:val="en-US"/>
              </w:rPr>
              <w:t>condEventD2</w:t>
            </w:r>
            <w:r>
              <w:rPr>
                <w:lang w:val="en-US" w:eastAsia="ko-KR"/>
              </w:rPr>
              <w:t xml:space="preserve">. </w:t>
            </w:r>
            <w:r>
              <w:rPr>
                <w:lang w:eastAsia="ko-KR"/>
              </w:rPr>
              <w:t>Each step represents 50m.</w:t>
            </w:r>
          </w:p>
        </w:tc>
      </w:tr>
      <w:tr w:rsidR="008560D0" w14:paraId="2C208A95" w14:textId="77777777">
        <w:tc>
          <w:tcPr>
            <w:tcW w:w="5000" w:type="pct"/>
            <w:tcBorders>
              <w:top w:val="single" w:sz="4" w:space="0" w:color="auto"/>
              <w:left w:val="single" w:sz="4" w:space="0" w:color="auto"/>
              <w:bottom w:val="single" w:sz="4" w:space="0" w:color="auto"/>
              <w:right w:val="single" w:sz="4" w:space="0" w:color="auto"/>
            </w:tcBorders>
          </w:tcPr>
          <w:p w14:paraId="19D9DF3B" w14:textId="77777777" w:rsidR="008560D0" w:rsidRDefault="00000000">
            <w:pPr>
              <w:pStyle w:val="TAL"/>
              <w:rPr>
                <w:b/>
                <w:bCs/>
                <w:i/>
                <w:iCs/>
                <w:szCs w:val="20"/>
                <w:lang w:val="en-US"/>
              </w:rPr>
            </w:pPr>
            <w:r>
              <w:rPr>
                <w:b/>
                <w:bCs/>
                <w:i/>
                <w:iCs/>
                <w:lang w:val="en-US"/>
              </w:rPr>
              <w:t>duration</w:t>
            </w:r>
          </w:p>
          <w:p w14:paraId="56559421" w14:textId="77777777" w:rsidR="008560D0" w:rsidRDefault="00000000">
            <w:pPr>
              <w:pStyle w:val="TAL"/>
            </w:pPr>
            <w:r>
              <w:rPr>
                <w:lang w:val="en-US"/>
              </w:rPr>
              <w:t xml:space="preserve">This field is used for defining the leaving condition T1-2 for conditional HO event </w:t>
            </w:r>
            <w:r>
              <w:rPr>
                <w:i/>
                <w:iCs/>
                <w:lang w:val="en-US"/>
              </w:rPr>
              <w:t>condEventT1</w:t>
            </w:r>
            <w:r>
              <w:rPr>
                <w:lang w:val="en-US"/>
              </w:rPr>
              <w:t xml:space="preserve">. </w:t>
            </w:r>
            <w:r>
              <w:t>Each step represents 100ms.</w:t>
            </w:r>
          </w:p>
        </w:tc>
      </w:tr>
      <w:tr w:rsidR="008560D0" w14:paraId="380BBC9F" w14:textId="77777777">
        <w:tc>
          <w:tcPr>
            <w:tcW w:w="5000" w:type="pct"/>
            <w:tcBorders>
              <w:top w:val="single" w:sz="4" w:space="0" w:color="auto"/>
              <w:left w:val="single" w:sz="4" w:space="0" w:color="auto"/>
              <w:bottom w:val="single" w:sz="4" w:space="0" w:color="auto"/>
              <w:right w:val="single" w:sz="4" w:space="0" w:color="auto"/>
            </w:tcBorders>
          </w:tcPr>
          <w:p w14:paraId="777152BD" w14:textId="77777777" w:rsidR="008560D0" w:rsidRDefault="00000000">
            <w:pPr>
              <w:pStyle w:val="TAL"/>
              <w:rPr>
                <w:b/>
                <w:bCs/>
                <w:i/>
                <w:iCs/>
                <w:highlight w:val="cyan"/>
                <w:lang w:val="en-US"/>
              </w:rPr>
            </w:pPr>
            <w:r>
              <w:rPr>
                <w:b/>
                <w:bCs/>
                <w:i/>
                <w:iCs/>
                <w:highlight w:val="cyan"/>
                <w:lang w:val="en-US"/>
              </w:rPr>
              <w:t>referenceLocation1, referenceLocation2</w:t>
            </w:r>
          </w:p>
          <w:p w14:paraId="518009FB" w14:textId="77777777" w:rsidR="008560D0" w:rsidRDefault="00000000">
            <w:pPr>
              <w:pStyle w:val="TAL"/>
              <w:rPr>
                <w:b/>
                <w:bCs/>
                <w:i/>
                <w:iCs/>
                <w:lang w:val="en-US"/>
              </w:rPr>
            </w:pPr>
            <w:r>
              <w:rPr>
                <w:lang w:val="en-US" w:eastAsia="en-US"/>
              </w:rPr>
              <w:t>The r</w:t>
            </w:r>
            <w:r>
              <w:rPr>
                <w:i/>
                <w:iCs/>
                <w:lang w:val="en-US" w:eastAsia="en-US"/>
              </w:rPr>
              <w:t>eferenceLocation1</w:t>
            </w:r>
            <w:r>
              <w:rPr>
                <w:lang w:val="en-US" w:eastAsia="en-US"/>
              </w:rPr>
              <w:t xml:space="preserve"> is associated to serving cell and </w:t>
            </w:r>
            <w:r>
              <w:rPr>
                <w:i/>
                <w:iCs/>
                <w:lang w:val="en-US" w:eastAsia="en-US"/>
              </w:rPr>
              <w:t>referenceLocation2</w:t>
            </w:r>
            <w:r>
              <w:rPr>
                <w:lang w:val="en-US" w:eastAsia="en-US"/>
              </w:rPr>
              <w:t xml:space="preserve"> is associated to candidate target cell.</w:t>
            </w:r>
          </w:p>
        </w:tc>
      </w:tr>
      <w:tr w:rsidR="008560D0" w14:paraId="74A11956" w14:textId="77777777">
        <w:tc>
          <w:tcPr>
            <w:tcW w:w="5000" w:type="pct"/>
            <w:tcBorders>
              <w:top w:val="single" w:sz="4" w:space="0" w:color="auto"/>
              <w:left w:val="single" w:sz="4" w:space="0" w:color="auto"/>
              <w:bottom w:val="single" w:sz="4" w:space="0" w:color="auto"/>
              <w:right w:val="single" w:sz="4" w:space="0" w:color="auto"/>
            </w:tcBorders>
          </w:tcPr>
          <w:p w14:paraId="355002D1" w14:textId="77777777" w:rsidR="008560D0" w:rsidRDefault="00000000">
            <w:pPr>
              <w:pStyle w:val="TAL"/>
              <w:rPr>
                <w:b/>
                <w:i/>
                <w:lang w:val="en-US" w:eastAsia="en-GB"/>
              </w:rPr>
            </w:pPr>
            <w:r>
              <w:rPr>
                <w:b/>
                <w:i/>
                <w:lang w:val="en-US" w:eastAsia="en-GB"/>
              </w:rPr>
              <w:t>t1-Threshold</w:t>
            </w:r>
          </w:p>
          <w:p w14:paraId="5988EAB5" w14:textId="77777777" w:rsidR="008560D0" w:rsidRDefault="00000000">
            <w:pPr>
              <w:pStyle w:val="TAL"/>
              <w:rPr>
                <w:b/>
                <w:i/>
                <w:lang w:val="en-US" w:eastAsia="en-GB"/>
              </w:rPr>
            </w:pPr>
            <w:r>
              <w:rPr>
                <w:lang w:val="en-US" w:eastAsia="en-US"/>
              </w:rPr>
              <w:t>The field counts the number of UTC seconds in 10 ms units since 00:00:00 on Gregorian calendar date 1 January, 1900 (midnight between Sunday, December 31, 1899 and Monday, January 1, 1900).</w:t>
            </w:r>
          </w:p>
        </w:tc>
      </w:tr>
      <w:tr w:rsidR="008560D0" w14:paraId="7D8425EF" w14:textId="77777777">
        <w:tc>
          <w:tcPr>
            <w:tcW w:w="5000" w:type="pct"/>
            <w:tcBorders>
              <w:top w:val="single" w:sz="4" w:space="0" w:color="auto"/>
              <w:left w:val="single" w:sz="4" w:space="0" w:color="auto"/>
              <w:bottom w:val="single" w:sz="4" w:space="0" w:color="auto"/>
              <w:right w:val="single" w:sz="4" w:space="0" w:color="auto"/>
            </w:tcBorders>
          </w:tcPr>
          <w:p w14:paraId="6355F48C" w14:textId="77777777" w:rsidR="008560D0" w:rsidRDefault="00000000">
            <w:pPr>
              <w:pStyle w:val="TAL"/>
              <w:rPr>
                <w:b/>
                <w:i/>
                <w:lang w:val="en-US" w:eastAsia="en-GB"/>
              </w:rPr>
            </w:pPr>
            <w:r>
              <w:rPr>
                <w:b/>
                <w:i/>
                <w:lang w:val="en-US" w:eastAsia="en-GB"/>
              </w:rPr>
              <w:t>timeToTrigger</w:t>
            </w:r>
          </w:p>
          <w:p w14:paraId="739385E2" w14:textId="77777777" w:rsidR="008560D0" w:rsidRDefault="00000000">
            <w:pPr>
              <w:pStyle w:val="TAL"/>
              <w:rPr>
                <w:b/>
                <w:i/>
                <w:lang w:val="en-US" w:eastAsia="sv-SE"/>
              </w:rPr>
            </w:pPr>
            <w:r>
              <w:rPr>
                <w:lang w:val="en-US" w:eastAsia="en-GB"/>
              </w:rPr>
              <w:t>Time during which specific criteria for the event needs to be met in order to execute the conditional reconfiguration evaluation.</w:t>
            </w:r>
          </w:p>
        </w:tc>
      </w:tr>
    </w:tbl>
    <w:p w14:paraId="3270AFB6" w14:textId="77777777" w:rsidR="008560D0" w:rsidRDefault="008560D0"/>
    <w:p w14:paraId="143967CE" w14:textId="77777777" w:rsidR="008560D0" w:rsidRDefault="008560D0">
      <w:pPr>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560D0" w14:paraId="062FF2A4" w14:textId="77777777">
        <w:tc>
          <w:tcPr>
            <w:tcW w:w="5000" w:type="pct"/>
            <w:tcBorders>
              <w:top w:val="single" w:sz="4" w:space="0" w:color="auto"/>
              <w:left w:val="single" w:sz="4" w:space="0" w:color="auto"/>
              <w:bottom w:val="single" w:sz="4" w:space="0" w:color="auto"/>
              <w:right w:val="single" w:sz="4" w:space="0" w:color="auto"/>
            </w:tcBorders>
          </w:tcPr>
          <w:p w14:paraId="717DE7BB" w14:textId="77777777" w:rsidR="008560D0" w:rsidRDefault="00000000">
            <w:pPr>
              <w:pStyle w:val="TAH"/>
              <w:jc w:val="both"/>
              <w:rPr>
                <w:lang w:eastAsia="sv-SE"/>
              </w:rPr>
            </w:pPr>
            <w:r>
              <w:rPr>
                <w:i/>
                <w:lang w:eastAsia="sv-SE"/>
              </w:rPr>
              <w:lastRenderedPageBreak/>
              <w:t xml:space="preserve">EventTriggerConfig </w:t>
            </w:r>
            <w:r>
              <w:rPr>
                <w:lang w:eastAsia="sv-SE"/>
              </w:rPr>
              <w:t>field descriptions</w:t>
            </w:r>
          </w:p>
        </w:tc>
      </w:tr>
      <w:tr w:rsidR="008560D0" w14:paraId="05EB397B" w14:textId="77777777">
        <w:tc>
          <w:tcPr>
            <w:tcW w:w="5000" w:type="pct"/>
            <w:tcBorders>
              <w:top w:val="single" w:sz="4" w:space="0" w:color="auto"/>
              <w:left w:val="single" w:sz="4" w:space="0" w:color="auto"/>
              <w:bottom w:val="single" w:sz="4" w:space="0" w:color="auto"/>
              <w:right w:val="single" w:sz="4" w:space="0" w:color="auto"/>
            </w:tcBorders>
          </w:tcPr>
          <w:p w14:paraId="66B2045F" w14:textId="77777777" w:rsidR="008560D0" w:rsidRDefault="00000000">
            <w:pPr>
              <w:keepNext/>
              <w:keepLines/>
              <w:rPr>
                <w:rFonts w:ascii="Arial" w:hAnsi="Arial"/>
                <w:b/>
                <w:i/>
                <w:sz w:val="18"/>
                <w:szCs w:val="20"/>
                <w:lang w:eastAsia="ko-KR"/>
              </w:rPr>
            </w:pPr>
            <w:r>
              <w:rPr>
                <w:rFonts w:ascii="Arial" w:hAnsi="Arial"/>
                <w:b/>
                <w:i/>
                <w:sz w:val="18"/>
                <w:lang w:eastAsia="ko-KR"/>
              </w:rPr>
              <w:t>coarseLocationRequest</w:t>
            </w:r>
          </w:p>
          <w:p w14:paraId="565E979D" w14:textId="77777777" w:rsidR="008560D0" w:rsidRDefault="00000000">
            <w:pPr>
              <w:pStyle w:val="TAL"/>
              <w:rPr>
                <w:rFonts w:cs="Arial"/>
                <w:b/>
                <w:i/>
                <w:lang w:val="en-US" w:eastAsia="ko-KR"/>
              </w:rPr>
            </w:pPr>
            <w:r>
              <w:rPr>
                <w:lang w:val="en-US" w:eastAsia="ko-KR"/>
              </w:rPr>
              <w:t>This field is used to request UE to report coarse location information.</w:t>
            </w:r>
          </w:p>
        </w:tc>
      </w:tr>
      <w:tr w:rsidR="008560D0" w14:paraId="2AA2607D" w14:textId="77777777">
        <w:tc>
          <w:tcPr>
            <w:tcW w:w="5000" w:type="pct"/>
            <w:tcBorders>
              <w:top w:val="single" w:sz="4" w:space="0" w:color="auto"/>
              <w:left w:val="single" w:sz="4" w:space="0" w:color="auto"/>
              <w:bottom w:val="single" w:sz="4" w:space="0" w:color="auto"/>
              <w:right w:val="single" w:sz="4" w:space="0" w:color="auto"/>
            </w:tcBorders>
          </w:tcPr>
          <w:p w14:paraId="2C08D630" w14:textId="77777777" w:rsidR="008560D0" w:rsidRDefault="00000000">
            <w:pPr>
              <w:pStyle w:val="TAL"/>
              <w:rPr>
                <w:rFonts w:cs="Times New Roman"/>
                <w:b/>
                <w:bCs/>
                <w:i/>
                <w:iCs/>
                <w:szCs w:val="20"/>
                <w:highlight w:val="cyan"/>
                <w:lang w:val="en-US"/>
              </w:rPr>
            </w:pPr>
            <w:r>
              <w:rPr>
                <w:b/>
                <w:bCs/>
                <w:i/>
                <w:iCs/>
                <w:highlight w:val="cyan"/>
                <w:lang w:val="en-US"/>
              </w:rPr>
              <w:t>distanceThreshFromReference1, distanceThreshFromReference2</w:t>
            </w:r>
          </w:p>
          <w:p w14:paraId="6A0DB33F" w14:textId="77777777" w:rsidR="008560D0" w:rsidRDefault="00000000">
            <w:pPr>
              <w:pStyle w:val="TAL"/>
              <w:rPr>
                <w:rFonts w:cs="Arial"/>
                <w:bCs/>
                <w:iCs/>
                <w:lang w:eastAsia="ko-KR"/>
              </w:rPr>
            </w:pPr>
            <w:r>
              <w:rPr>
                <w:rFonts w:cs="Arial"/>
                <w:iCs/>
                <w:lang w:val="en-US"/>
              </w:rPr>
              <w:t xml:space="preserve">Distance from a fixed reference location configured with </w:t>
            </w:r>
            <w:r>
              <w:rPr>
                <w:rFonts w:cs="Arial"/>
                <w:i/>
                <w:lang w:val="en-US"/>
              </w:rPr>
              <w:t>referenceLocation1</w:t>
            </w:r>
            <w:r>
              <w:rPr>
                <w:rFonts w:cs="Arial"/>
                <w:iCs/>
                <w:lang w:val="en-US"/>
              </w:rPr>
              <w:t xml:space="preserve"> or </w:t>
            </w:r>
            <w:r>
              <w:rPr>
                <w:rFonts w:cs="Arial"/>
                <w:i/>
                <w:lang w:val="en-US"/>
              </w:rPr>
              <w:t>referenceLocation2</w:t>
            </w:r>
            <w:r>
              <w:rPr>
                <w:rFonts w:cs="Arial"/>
                <w:iCs/>
                <w:lang w:val="en-US"/>
              </w:rPr>
              <w:t xml:space="preserve"> for </w:t>
            </w:r>
            <w:r>
              <w:rPr>
                <w:rFonts w:cs="Arial"/>
                <w:i/>
                <w:lang w:val="en-US"/>
              </w:rPr>
              <w:t>eventD1</w:t>
            </w:r>
            <w:r>
              <w:rPr>
                <w:rFonts w:cs="Arial"/>
                <w:iCs/>
                <w:lang w:val="en-US"/>
              </w:rPr>
              <w:t xml:space="preserve">. Distance from a moving reference location determined by the UE based on the serving cell </w:t>
            </w:r>
            <w:r>
              <w:rPr>
                <w:rFonts w:cs="Arial"/>
                <w:i/>
                <w:lang w:val="en-US"/>
              </w:rPr>
              <w:t>movingReferenceLocation</w:t>
            </w:r>
            <w:r>
              <w:rPr>
                <w:rFonts w:cs="Arial"/>
                <w:iCs/>
                <w:lang w:val="en-US"/>
              </w:rPr>
              <w:t xml:space="preserve"> broadcast in </w:t>
            </w:r>
            <w:r>
              <w:rPr>
                <w:rFonts w:cs="Arial"/>
                <w:i/>
                <w:lang w:val="en-US"/>
              </w:rPr>
              <w:t>SIB19</w:t>
            </w:r>
            <w:r>
              <w:rPr>
                <w:rFonts w:cs="Arial"/>
                <w:iCs/>
                <w:lang w:val="en-US"/>
              </w:rPr>
              <w:t xml:space="preserve"> or </w:t>
            </w:r>
            <w:r>
              <w:rPr>
                <w:rFonts w:cs="Arial"/>
                <w:i/>
                <w:lang w:val="en-US"/>
              </w:rPr>
              <w:t>referenceLocation</w:t>
            </w:r>
            <w:r>
              <w:rPr>
                <w:rFonts w:cs="Arial"/>
                <w:iCs/>
                <w:lang w:val="en-US"/>
              </w:rPr>
              <w:t xml:space="preserve"> and the corresponding epoch time and satellite ephemeris configured within the </w:t>
            </w:r>
            <w:r>
              <w:rPr>
                <w:rFonts w:cs="Arial"/>
                <w:i/>
                <w:lang w:val="en-US"/>
              </w:rPr>
              <w:t>MeasObjectNR</w:t>
            </w:r>
            <w:r>
              <w:rPr>
                <w:rFonts w:cs="Arial"/>
                <w:iCs/>
                <w:lang w:val="en-US"/>
              </w:rPr>
              <w:t xml:space="preserve"> associated to the event for </w:t>
            </w:r>
            <w:r>
              <w:rPr>
                <w:rFonts w:cs="Arial"/>
                <w:i/>
                <w:lang w:val="en-US"/>
              </w:rPr>
              <w:t>eventD2</w:t>
            </w:r>
            <w:r>
              <w:rPr>
                <w:rFonts w:cs="Arial"/>
                <w:iCs/>
                <w:lang w:val="en-US"/>
              </w:rPr>
              <w:t>.</w:t>
            </w:r>
            <w:r>
              <w:rPr>
                <w:iCs/>
                <w:lang w:val="en-US"/>
              </w:rPr>
              <w:t xml:space="preserve"> </w:t>
            </w:r>
            <w:r>
              <w:rPr>
                <w:iCs/>
              </w:rPr>
              <w:t>Each step represents 50m.</w:t>
            </w:r>
          </w:p>
        </w:tc>
      </w:tr>
      <w:tr w:rsidR="008560D0" w14:paraId="1939DC2E" w14:textId="77777777">
        <w:tc>
          <w:tcPr>
            <w:tcW w:w="5000" w:type="pct"/>
            <w:tcBorders>
              <w:top w:val="single" w:sz="4" w:space="0" w:color="auto"/>
              <w:left w:val="single" w:sz="4" w:space="0" w:color="auto"/>
              <w:bottom w:val="single" w:sz="4" w:space="0" w:color="auto"/>
              <w:right w:val="single" w:sz="4" w:space="0" w:color="auto"/>
            </w:tcBorders>
          </w:tcPr>
          <w:p w14:paraId="325C64C4" w14:textId="77777777" w:rsidR="008560D0" w:rsidRDefault="00000000">
            <w:pPr>
              <w:pStyle w:val="TAL"/>
              <w:rPr>
                <w:rFonts w:cs="Times New Roman"/>
                <w:b/>
                <w:i/>
                <w:lang w:val="en-US" w:eastAsia="en-GB"/>
              </w:rPr>
            </w:pPr>
            <w:r>
              <w:rPr>
                <w:b/>
                <w:i/>
                <w:lang w:val="en-US" w:eastAsia="en-GB"/>
              </w:rPr>
              <w:t>eventId</w:t>
            </w:r>
          </w:p>
          <w:p w14:paraId="1D928660" w14:textId="77777777" w:rsidR="008560D0" w:rsidRDefault="00000000">
            <w:pPr>
              <w:pStyle w:val="TAL"/>
              <w:rPr>
                <w:lang w:val="en-US" w:eastAsia="sv-SE"/>
              </w:rPr>
            </w:pPr>
            <w:r>
              <w:rPr>
                <w:lang w:val="en-US" w:eastAsia="en-GB"/>
              </w:rPr>
              <w:t>Choice of NR event triggered reporting criteria.</w:t>
            </w:r>
          </w:p>
        </w:tc>
      </w:tr>
      <w:tr w:rsidR="008560D0" w14:paraId="144EA3CE" w14:textId="77777777">
        <w:tc>
          <w:tcPr>
            <w:tcW w:w="5000" w:type="pct"/>
            <w:tcBorders>
              <w:top w:val="single" w:sz="4" w:space="0" w:color="auto"/>
              <w:left w:val="single" w:sz="4" w:space="0" w:color="auto"/>
              <w:bottom w:val="single" w:sz="4" w:space="0" w:color="auto"/>
              <w:right w:val="single" w:sz="4" w:space="0" w:color="auto"/>
            </w:tcBorders>
          </w:tcPr>
          <w:p w14:paraId="13BDDC57" w14:textId="77777777" w:rsidR="008560D0" w:rsidRDefault="00000000">
            <w:pPr>
              <w:pStyle w:val="TAL"/>
              <w:rPr>
                <w:b/>
                <w:i/>
                <w:lang w:val="en-US" w:eastAsia="en-GB"/>
              </w:rPr>
            </w:pPr>
            <w:r>
              <w:rPr>
                <w:b/>
                <w:i/>
                <w:lang w:val="en-US" w:eastAsia="en-GB"/>
              </w:rPr>
              <w:t>maxNrofRS-IndexesToReport</w:t>
            </w:r>
          </w:p>
          <w:p w14:paraId="75BAA4BB" w14:textId="77777777" w:rsidR="008560D0" w:rsidRDefault="00000000">
            <w:pPr>
              <w:pStyle w:val="TAL"/>
              <w:rPr>
                <w:b/>
                <w:i/>
                <w:lang w:val="en-US" w:eastAsia="en-GB"/>
              </w:rPr>
            </w:pPr>
            <w:r>
              <w:rPr>
                <w:lang w:val="en-US" w:eastAsia="en-GB"/>
              </w:rPr>
              <w:t>Max number of RS indexes to include in the measurement report for A1-A6 events.</w:t>
            </w:r>
          </w:p>
        </w:tc>
      </w:tr>
      <w:tr w:rsidR="008560D0" w14:paraId="7C6F0070" w14:textId="77777777">
        <w:tc>
          <w:tcPr>
            <w:tcW w:w="5000" w:type="pct"/>
            <w:tcBorders>
              <w:top w:val="single" w:sz="4" w:space="0" w:color="auto"/>
              <w:left w:val="single" w:sz="4" w:space="0" w:color="auto"/>
              <w:bottom w:val="single" w:sz="4" w:space="0" w:color="auto"/>
              <w:right w:val="single" w:sz="4" w:space="0" w:color="auto"/>
            </w:tcBorders>
          </w:tcPr>
          <w:p w14:paraId="27EED1B5" w14:textId="77777777" w:rsidR="008560D0" w:rsidRDefault="00000000">
            <w:pPr>
              <w:pStyle w:val="TAL"/>
              <w:rPr>
                <w:b/>
                <w:i/>
                <w:lang w:val="en-US" w:eastAsia="en-GB"/>
              </w:rPr>
            </w:pPr>
            <w:r>
              <w:rPr>
                <w:b/>
                <w:i/>
                <w:lang w:val="en-US" w:eastAsia="en-GB"/>
              </w:rPr>
              <w:t>maxReportCells</w:t>
            </w:r>
          </w:p>
          <w:p w14:paraId="0FEFC541" w14:textId="77777777" w:rsidR="008560D0" w:rsidRDefault="00000000">
            <w:pPr>
              <w:pStyle w:val="TAL"/>
              <w:rPr>
                <w:lang w:val="en-US" w:eastAsia="sv-SE"/>
              </w:rPr>
            </w:pPr>
            <w:r>
              <w:rPr>
                <w:lang w:val="en-US" w:eastAsia="en-GB"/>
              </w:rPr>
              <w:t>Max number of non-serving cells to include in the measurement report.</w:t>
            </w:r>
          </w:p>
        </w:tc>
      </w:tr>
      <w:tr w:rsidR="008560D0" w14:paraId="02605998" w14:textId="77777777">
        <w:tc>
          <w:tcPr>
            <w:tcW w:w="5000" w:type="pct"/>
            <w:tcBorders>
              <w:top w:val="single" w:sz="4" w:space="0" w:color="auto"/>
              <w:left w:val="single" w:sz="4" w:space="0" w:color="auto"/>
              <w:bottom w:val="single" w:sz="4" w:space="0" w:color="auto"/>
              <w:right w:val="single" w:sz="4" w:space="0" w:color="auto"/>
            </w:tcBorders>
          </w:tcPr>
          <w:p w14:paraId="4970C0DF" w14:textId="77777777" w:rsidR="008560D0" w:rsidRDefault="00000000">
            <w:pPr>
              <w:pStyle w:val="TAL"/>
              <w:rPr>
                <w:rFonts w:eastAsia="宋体"/>
                <w:b/>
                <w:bCs/>
                <w:i/>
                <w:iCs/>
                <w:szCs w:val="20"/>
                <w:lang w:val="en-US" w:eastAsia="en-US"/>
              </w:rPr>
            </w:pPr>
            <w:r>
              <w:rPr>
                <w:rFonts w:eastAsia="宋体"/>
                <w:b/>
                <w:bCs/>
                <w:i/>
                <w:iCs/>
                <w:lang w:val="en-US" w:eastAsia="en-US"/>
              </w:rPr>
              <w:t>numberOfTriggeringCells</w:t>
            </w:r>
          </w:p>
          <w:p w14:paraId="05A41257" w14:textId="77777777" w:rsidR="008560D0" w:rsidRDefault="00000000">
            <w:pPr>
              <w:pStyle w:val="TAL"/>
              <w:rPr>
                <w:rFonts w:eastAsia="Times New Roman"/>
                <w:b/>
                <w:i/>
                <w:lang w:val="en-US" w:eastAsia="en-GB"/>
              </w:rPr>
            </w:pPr>
            <w:r>
              <w:rPr>
                <w:rFonts w:eastAsia="宋体" w:cs="Arial"/>
                <w:szCs w:val="18"/>
                <w:lang w:val="en-US" w:eastAsia="en-US"/>
              </w:rPr>
              <w:t xml:space="preserve">Indicates the number of cells detected that are required to fulfill an event for a measurement report to be triggered. This field is applicable only for the events concerning neighbor cells, i.e. </w:t>
            </w:r>
            <w:r>
              <w:rPr>
                <w:rFonts w:eastAsia="宋体" w:cs="Arial"/>
                <w:i/>
                <w:iCs/>
                <w:szCs w:val="18"/>
                <w:lang w:val="en-US" w:eastAsia="en-US"/>
              </w:rPr>
              <w:t>eventA3</w:t>
            </w:r>
            <w:r>
              <w:rPr>
                <w:rFonts w:eastAsia="宋体" w:cs="Arial"/>
                <w:szCs w:val="18"/>
                <w:lang w:val="en-US" w:eastAsia="en-US"/>
              </w:rPr>
              <w:t xml:space="preserve">, </w:t>
            </w:r>
            <w:r>
              <w:rPr>
                <w:rFonts w:eastAsia="宋体" w:cs="Arial"/>
                <w:i/>
                <w:iCs/>
                <w:szCs w:val="18"/>
                <w:lang w:val="en-US" w:eastAsia="en-US"/>
              </w:rPr>
              <w:t>eventA4, eventA5, eventA3H1, eventA3H2, eventA4H1, eventA4H2, eventA5H1, eventA5H2</w:t>
            </w:r>
            <w:r>
              <w:rPr>
                <w:rFonts w:eastAsia="宋体" w:cs="Arial"/>
                <w:szCs w:val="18"/>
                <w:lang w:val="en-US" w:eastAsia="en-US"/>
              </w:rPr>
              <w:t>.</w:t>
            </w:r>
          </w:p>
        </w:tc>
      </w:tr>
      <w:tr w:rsidR="008560D0" w14:paraId="5A878018" w14:textId="77777777">
        <w:tc>
          <w:tcPr>
            <w:tcW w:w="5000" w:type="pct"/>
            <w:tcBorders>
              <w:top w:val="single" w:sz="4" w:space="0" w:color="auto"/>
              <w:left w:val="single" w:sz="4" w:space="0" w:color="auto"/>
              <w:bottom w:val="single" w:sz="4" w:space="0" w:color="auto"/>
              <w:right w:val="single" w:sz="4" w:space="0" w:color="auto"/>
            </w:tcBorders>
          </w:tcPr>
          <w:p w14:paraId="4559C25B" w14:textId="77777777" w:rsidR="008560D0" w:rsidRDefault="00000000">
            <w:pPr>
              <w:pStyle w:val="TAL"/>
              <w:rPr>
                <w:b/>
                <w:bCs/>
                <w:i/>
                <w:iCs/>
                <w:szCs w:val="20"/>
                <w:highlight w:val="cyan"/>
                <w:lang w:val="en-US"/>
              </w:rPr>
            </w:pPr>
            <w:r>
              <w:rPr>
                <w:b/>
                <w:bCs/>
                <w:i/>
                <w:iCs/>
                <w:highlight w:val="cyan"/>
                <w:lang w:val="en-US"/>
              </w:rPr>
              <w:t>referenceLocation1, referenceLocation2</w:t>
            </w:r>
          </w:p>
          <w:p w14:paraId="1F82085C" w14:textId="77777777" w:rsidR="008560D0" w:rsidRDefault="00000000">
            <w:pPr>
              <w:pStyle w:val="TAL"/>
              <w:rPr>
                <w:b/>
                <w:i/>
                <w:lang w:val="en-US" w:eastAsia="sv-SE"/>
              </w:rPr>
            </w:pPr>
            <w:r>
              <w:rPr>
                <w:iCs/>
                <w:lang w:val="en-US"/>
              </w:rPr>
              <w:t xml:space="preserve">The </w:t>
            </w:r>
            <w:r>
              <w:rPr>
                <w:i/>
                <w:lang w:val="en-US"/>
              </w:rPr>
              <w:t>referenceLocation1</w:t>
            </w:r>
            <w:r>
              <w:rPr>
                <w:iCs/>
                <w:lang w:val="en-US"/>
              </w:rPr>
              <w:t xml:space="preserve"> is associated to serving cell and </w:t>
            </w:r>
            <w:r>
              <w:rPr>
                <w:i/>
                <w:lang w:val="en-US"/>
              </w:rPr>
              <w:t>referenceLocation2</w:t>
            </w:r>
            <w:r>
              <w:rPr>
                <w:iCs/>
                <w:lang w:val="en-US"/>
              </w:rPr>
              <w:t xml:space="preserve"> is associated to neighbour cell.</w:t>
            </w:r>
          </w:p>
        </w:tc>
      </w:tr>
      <w:tr w:rsidR="008560D0" w14:paraId="006D9DB3" w14:textId="77777777">
        <w:tc>
          <w:tcPr>
            <w:tcW w:w="5000" w:type="pct"/>
            <w:tcBorders>
              <w:top w:val="single" w:sz="4" w:space="0" w:color="auto"/>
              <w:left w:val="single" w:sz="4" w:space="0" w:color="auto"/>
              <w:bottom w:val="single" w:sz="4" w:space="0" w:color="auto"/>
              <w:right w:val="single" w:sz="4" w:space="0" w:color="auto"/>
            </w:tcBorders>
          </w:tcPr>
          <w:p w14:paraId="1B4A0E49" w14:textId="77777777" w:rsidR="008560D0" w:rsidRDefault="00000000">
            <w:pPr>
              <w:pStyle w:val="TAL"/>
              <w:rPr>
                <w:b/>
                <w:i/>
                <w:lang w:val="en-US" w:eastAsia="sv-SE"/>
              </w:rPr>
            </w:pPr>
            <w:r>
              <w:rPr>
                <w:b/>
                <w:i/>
                <w:lang w:val="en-US" w:eastAsia="sv-SE"/>
              </w:rPr>
              <w:t>reportAddNeighMeas</w:t>
            </w:r>
          </w:p>
          <w:p w14:paraId="0312B9C6" w14:textId="77777777" w:rsidR="008560D0" w:rsidRDefault="00000000">
            <w:pPr>
              <w:pStyle w:val="TAL"/>
              <w:rPr>
                <w:b/>
                <w:i/>
                <w:lang w:val="en-US" w:eastAsia="sv-SE"/>
              </w:rPr>
            </w:pPr>
            <w:r>
              <w:rPr>
                <w:lang w:val="en-US" w:eastAsia="en-GB"/>
              </w:rPr>
              <w:t>Indicates that the UE shall include the best neighbour cells per serving frequency.</w:t>
            </w:r>
          </w:p>
        </w:tc>
      </w:tr>
      <w:tr w:rsidR="008560D0" w14:paraId="42637995" w14:textId="77777777">
        <w:tc>
          <w:tcPr>
            <w:tcW w:w="5000" w:type="pct"/>
            <w:tcBorders>
              <w:top w:val="single" w:sz="4" w:space="0" w:color="auto"/>
              <w:left w:val="single" w:sz="4" w:space="0" w:color="auto"/>
              <w:bottom w:val="single" w:sz="4" w:space="0" w:color="auto"/>
              <w:right w:val="single" w:sz="4" w:space="0" w:color="auto"/>
            </w:tcBorders>
          </w:tcPr>
          <w:p w14:paraId="08479B6C" w14:textId="77777777" w:rsidR="008560D0" w:rsidRDefault="00000000">
            <w:pPr>
              <w:pStyle w:val="TAL"/>
              <w:rPr>
                <w:b/>
                <w:i/>
                <w:lang w:val="en-US" w:eastAsia="en-GB"/>
              </w:rPr>
            </w:pPr>
            <w:r>
              <w:rPr>
                <w:b/>
                <w:i/>
                <w:lang w:val="en-US" w:eastAsia="en-GB"/>
              </w:rPr>
              <w:t>reportAmount</w:t>
            </w:r>
          </w:p>
          <w:p w14:paraId="3E223BF8" w14:textId="77777777" w:rsidR="008560D0" w:rsidRDefault="00000000">
            <w:pPr>
              <w:pStyle w:val="TAL"/>
              <w:rPr>
                <w:b/>
                <w:i/>
                <w:lang w:val="en-US" w:eastAsia="en-GB"/>
              </w:rPr>
            </w:pPr>
            <w:r>
              <w:rPr>
                <w:iCs/>
                <w:lang w:val="en-US" w:eastAsia="en-GB"/>
              </w:rPr>
              <w:t xml:space="preserve">Number </w:t>
            </w:r>
            <w:r>
              <w:rPr>
                <w:lang w:val="en-US" w:eastAsia="en-GB"/>
              </w:rPr>
              <w:t xml:space="preserve">of measurement reports applicable for </w:t>
            </w:r>
            <w:r>
              <w:rPr>
                <w:i/>
                <w:lang w:val="en-US" w:eastAsia="en-GB"/>
              </w:rPr>
              <w:t>eventTriggered</w:t>
            </w:r>
            <w:r>
              <w:rPr>
                <w:lang w:val="en-US" w:eastAsia="en-GB"/>
              </w:rPr>
              <w:t xml:space="preserve"> as well as for </w:t>
            </w:r>
            <w:r>
              <w:rPr>
                <w:i/>
                <w:lang w:val="en-US" w:eastAsia="en-GB"/>
              </w:rPr>
              <w:t>periodical</w:t>
            </w:r>
            <w:r>
              <w:rPr>
                <w:lang w:val="en-US" w:eastAsia="en-GB"/>
              </w:rPr>
              <w:t xml:space="preserve"> report types.</w:t>
            </w:r>
          </w:p>
        </w:tc>
      </w:tr>
      <w:tr w:rsidR="008560D0" w14:paraId="632C9ACF" w14:textId="77777777">
        <w:tc>
          <w:tcPr>
            <w:tcW w:w="5000" w:type="pct"/>
            <w:tcBorders>
              <w:top w:val="single" w:sz="4" w:space="0" w:color="auto"/>
              <w:left w:val="single" w:sz="4" w:space="0" w:color="auto"/>
              <w:bottom w:val="single" w:sz="4" w:space="0" w:color="auto"/>
              <w:right w:val="single" w:sz="4" w:space="0" w:color="auto"/>
            </w:tcBorders>
          </w:tcPr>
          <w:p w14:paraId="7D3C2909" w14:textId="77777777" w:rsidR="008560D0" w:rsidRDefault="00000000">
            <w:pPr>
              <w:pStyle w:val="TAL"/>
              <w:rPr>
                <w:b/>
                <w:i/>
                <w:lang w:val="en-US" w:eastAsia="en-GB"/>
              </w:rPr>
            </w:pPr>
            <w:r>
              <w:rPr>
                <w:b/>
                <w:i/>
                <w:lang w:val="en-US" w:eastAsia="en-GB"/>
              </w:rPr>
              <w:t>reportOnBestCellChange</w:t>
            </w:r>
          </w:p>
          <w:p w14:paraId="07FF2B4B" w14:textId="77777777" w:rsidR="008560D0" w:rsidRDefault="00000000">
            <w:pPr>
              <w:pStyle w:val="TAL"/>
              <w:rPr>
                <w:b/>
                <w:i/>
                <w:lang w:val="en-US" w:eastAsia="en-GB"/>
              </w:rPr>
            </w:pPr>
            <w:r>
              <w:rPr>
                <w:lang w:val="en-US" w:eastAsia="en-GB"/>
              </w:rPr>
              <w:t xml:space="preserve">Indicates whether the UE shall only send measurement report if the measured best cell (when configured to </w:t>
            </w:r>
            <w:r>
              <w:rPr>
                <w:i/>
                <w:iCs/>
                <w:lang w:val="en-US" w:eastAsia="en-GB"/>
              </w:rPr>
              <w:t>n1</w:t>
            </w:r>
            <w:r>
              <w:rPr>
                <w:lang w:val="en-US" w:eastAsia="en-GB"/>
              </w:rPr>
              <w:t xml:space="preserve">) or two best cells (when configured to </w:t>
            </w:r>
            <w:r>
              <w:rPr>
                <w:i/>
                <w:iCs/>
                <w:lang w:val="en-US" w:eastAsia="en-GB"/>
              </w:rPr>
              <w:t>n2</w:t>
            </w:r>
            <w:r>
              <w:rPr>
                <w:lang w:val="en-US" w:eastAsia="en-GB"/>
              </w:rPr>
              <w:t xml:space="preserve">) have changed. In this release of the specification, this field is applicable only for the events concerning neighbor cells. This field can only be configured when the value of the field </w:t>
            </w:r>
            <w:r>
              <w:rPr>
                <w:i/>
                <w:iCs/>
                <w:lang w:val="en-US" w:eastAsia="en-GB"/>
              </w:rPr>
              <w:t>reportAmount</w:t>
            </w:r>
            <w:r>
              <w:rPr>
                <w:lang w:val="en-US" w:eastAsia="en-GB"/>
              </w:rPr>
              <w:t xml:space="preserve"> is set to any other value than </w:t>
            </w:r>
            <w:r>
              <w:rPr>
                <w:i/>
                <w:iCs/>
                <w:lang w:val="en-US" w:eastAsia="en-GB"/>
              </w:rPr>
              <w:t>r1</w:t>
            </w:r>
            <w:r>
              <w:rPr>
                <w:lang w:val="en-US" w:eastAsia="en-GB"/>
              </w:rPr>
              <w:t>.</w:t>
            </w:r>
          </w:p>
        </w:tc>
      </w:tr>
      <w:tr w:rsidR="008560D0" w14:paraId="06259659" w14:textId="77777777">
        <w:tc>
          <w:tcPr>
            <w:tcW w:w="5000" w:type="pct"/>
            <w:tcBorders>
              <w:top w:val="single" w:sz="4" w:space="0" w:color="auto"/>
              <w:left w:val="single" w:sz="4" w:space="0" w:color="auto"/>
              <w:bottom w:val="single" w:sz="4" w:space="0" w:color="auto"/>
              <w:right w:val="single" w:sz="4" w:space="0" w:color="auto"/>
            </w:tcBorders>
          </w:tcPr>
          <w:p w14:paraId="413BEABD" w14:textId="77777777" w:rsidR="008560D0" w:rsidRDefault="00000000">
            <w:pPr>
              <w:pStyle w:val="TAL"/>
              <w:rPr>
                <w:b/>
                <w:i/>
                <w:lang w:val="en-US" w:eastAsia="en-GB"/>
              </w:rPr>
            </w:pPr>
            <w:r>
              <w:rPr>
                <w:b/>
                <w:i/>
                <w:lang w:val="en-US" w:eastAsia="en-GB"/>
              </w:rPr>
              <w:t>reportOnLeave</w:t>
            </w:r>
          </w:p>
          <w:p w14:paraId="32A931F2" w14:textId="77777777" w:rsidR="008560D0" w:rsidRDefault="00000000">
            <w:pPr>
              <w:pStyle w:val="TAL"/>
              <w:rPr>
                <w:lang w:val="en-US" w:eastAsia="en-GB"/>
              </w:rPr>
            </w:pPr>
            <w:r>
              <w:rPr>
                <w:lang w:val="en-US" w:eastAsia="en-GB"/>
              </w:rPr>
              <w:t xml:space="preserve">Indicates whether or not the UE shall initiate the measurement reporting procedure when the leaving condition is met for a cell in </w:t>
            </w:r>
            <w:r>
              <w:rPr>
                <w:i/>
                <w:lang w:val="en-US" w:eastAsia="sv-SE"/>
              </w:rPr>
              <w:t>cellsTriggeredList</w:t>
            </w:r>
            <w:r>
              <w:rPr>
                <w:rFonts w:eastAsia="等线"/>
                <w:iCs/>
                <w:lang w:val="en-US"/>
              </w:rPr>
              <w:t xml:space="preserve"> or for a L2 U2N Relay UE in</w:t>
            </w:r>
            <w:r>
              <w:rPr>
                <w:i/>
                <w:lang w:val="en-US" w:eastAsia="sv-SE"/>
              </w:rPr>
              <w:t xml:space="preserve"> </w:t>
            </w:r>
            <w:r>
              <w:rPr>
                <w:rFonts w:eastAsia="等线"/>
                <w:i/>
                <w:lang w:val="en-US"/>
              </w:rPr>
              <w:t>relay</w:t>
            </w:r>
            <w:r>
              <w:rPr>
                <w:i/>
                <w:lang w:val="en-US" w:eastAsia="sv-SE"/>
              </w:rPr>
              <w:t>sTriggeredList</w:t>
            </w:r>
            <w:r>
              <w:rPr>
                <w:lang w:val="en-US" w:eastAsia="en-GB"/>
              </w:rPr>
              <w:t>, as specified in 5.5.4.1.</w:t>
            </w:r>
          </w:p>
          <w:p w14:paraId="1FEDF03A" w14:textId="77777777" w:rsidR="008560D0" w:rsidRDefault="00000000">
            <w:pPr>
              <w:pStyle w:val="TAL"/>
              <w:rPr>
                <w:b/>
                <w:i/>
                <w:lang w:val="en-US" w:eastAsia="en-GB"/>
              </w:rPr>
            </w:pPr>
            <w:r>
              <w:rPr>
                <w:lang w:val="en-US" w:eastAsia="en-GB"/>
              </w:rPr>
              <w:t xml:space="preserve">Indicates whether or not the UE shall initiate the measurement reporting procedure when the leaving condition is met if configured in </w:t>
            </w:r>
            <w:r>
              <w:rPr>
                <w:i/>
                <w:lang w:val="en-US" w:eastAsia="en-GB"/>
              </w:rPr>
              <w:t>eventD1</w:t>
            </w:r>
            <w:r>
              <w:rPr>
                <w:lang w:val="en-US" w:eastAsia="en-GB"/>
              </w:rPr>
              <w:t xml:space="preserve">, </w:t>
            </w:r>
            <w:r>
              <w:rPr>
                <w:i/>
                <w:iCs/>
                <w:lang w:val="en-US" w:eastAsia="en-GB"/>
              </w:rPr>
              <w:t>eventD2</w:t>
            </w:r>
            <w:r>
              <w:rPr>
                <w:lang w:val="en-US" w:eastAsia="en-GB"/>
              </w:rPr>
              <w:t xml:space="preserve">, </w:t>
            </w:r>
            <w:r>
              <w:rPr>
                <w:i/>
                <w:iCs/>
                <w:lang w:val="en-US" w:eastAsia="en-GB"/>
              </w:rPr>
              <w:t>eventH1</w:t>
            </w:r>
            <w:r>
              <w:rPr>
                <w:lang w:val="en-US" w:eastAsia="en-GB"/>
              </w:rPr>
              <w:t xml:space="preserve">, </w:t>
            </w:r>
            <w:r>
              <w:rPr>
                <w:i/>
                <w:iCs/>
                <w:lang w:val="en-US" w:eastAsia="en-GB"/>
              </w:rPr>
              <w:t>eventH2</w:t>
            </w:r>
            <w:r>
              <w:rPr>
                <w:lang w:val="en-US" w:eastAsia="en-GB"/>
              </w:rPr>
              <w:t xml:space="preserve"> as specified in 5.5.4.1.</w:t>
            </w:r>
          </w:p>
        </w:tc>
      </w:tr>
      <w:tr w:rsidR="008560D0" w14:paraId="1F820747" w14:textId="77777777">
        <w:tc>
          <w:tcPr>
            <w:tcW w:w="5000" w:type="pct"/>
            <w:tcBorders>
              <w:top w:val="single" w:sz="4" w:space="0" w:color="auto"/>
              <w:left w:val="single" w:sz="4" w:space="0" w:color="auto"/>
              <w:bottom w:val="single" w:sz="4" w:space="0" w:color="auto"/>
              <w:right w:val="single" w:sz="4" w:space="0" w:color="auto"/>
            </w:tcBorders>
          </w:tcPr>
          <w:p w14:paraId="6B058D6D" w14:textId="77777777" w:rsidR="008560D0" w:rsidRDefault="00000000">
            <w:pPr>
              <w:pStyle w:val="TAL"/>
              <w:rPr>
                <w:b/>
                <w:i/>
                <w:lang w:val="en-US" w:eastAsia="sv-SE"/>
              </w:rPr>
            </w:pPr>
            <w:r>
              <w:rPr>
                <w:b/>
                <w:i/>
                <w:lang w:val="en-US" w:eastAsia="sv-SE"/>
              </w:rPr>
              <w:t>reportQuantityCell</w:t>
            </w:r>
          </w:p>
          <w:p w14:paraId="4F0F782C" w14:textId="77777777" w:rsidR="008560D0" w:rsidRDefault="00000000">
            <w:pPr>
              <w:pStyle w:val="TAL"/>
              <w:rPr>
                <w:b/>
                <w:i/>
                <w:lang w:val="en-US" w:eastAsia="en-GB"/>
              </w:rPr>
            </w:pPr>
            <w:r>
              <w:rPr>
                <w:lang w:val="en-US" w:eastAsia="en-GB"/>
              </w:rPr>
              <w:t>The cell measurement quantities to be included in the measurement report.</w:t>
            </w:r>
          </w:p>
        </w:tc>
      </w:tr>
      <w:tr w:rsidR="008560D0" w14:paraId="182A9DD4" w14:textId="77777777">
        <w:tc>
          <w:tcPr>
            <w:tcW w:w="5000" w:type="pct"/>
            <w:tcBorders>
              <w:top w:val="single" w:sz="4" w:space="0" w:color="auto"/>
              <w:left w:val="single" w:sz="4" w:space="0" w:color="auto"/>
              <w:bottom w:val="single" w:sz="4" w:space="0" w:color="auto"/>
              <w:right w:val="single" w:sz="4" w:space="0" w:color="auto"/>
            </w:tcBorders>
          </w:tcPr>
          <w:p w14:paraId="5A5DF9B8" w14:textId="77777777" w:rsidR="008560D0" w:rsidRDefault="00000000">
            <w:pPr>
              <w:pStyle w:val="TAL"/>
              <w:rPr>
                <w:b/>
                <w:i/>
                <w:lang w:val="en-US" w:eastAsia="sv-SE"/>
              </w:rPr>
            </w:pPr>
            <w:r>
              <w:rPr>
                <w:b/>
                <w:i/>
                <w:lang w:val="en-US" w:eastAsia="sv-SE"/>
              </w:rPr>
              <w:t>reportQuantityRS-Indexes</w:t>
            </w:r>
          </w:p>
          <w:p w14:paraId="6241FA42" w14:textId="77777777" w:rsidR="008560D0" w:rsidRDefault="00000000">
            <w:pPr>
              <w:pStyle w:val="TAL"/>
              <w:rPr>
                <w:lang w:val="en-US" w:eastAsia="en-GB"/>
              </w:rPr>
            </w:pPr>
            <w:r>
              <w:rPr>
                <w:lang w:val="en-US" w:eastAsia="en-GB"/>
              </w:rPr>
              <w:t>Indicates which measurement information per RS index the UE shall include in the measurement report.</w:t>
            </w:r>
          </w:p>
        </w:tc>
      </w:tr>
      <w:tr w:rsidR="008560D0" w14:paraId="4892408A" w14:textId="77777777">
        <w:tc>
          <w:tcPr>
            <w:tcW w:w="5000" w:type="pct"/>
            <w:tcBorders>
              <w:top w:val="single" w:sz="4" w:space="0" w:color="auto"/>
              <w:left w:val="single" w:sz="4" w:space="0" w:color="auto"/>
              <w:bottom w:val="single" w:sz="4" w:space="0" w:color="auto"/>
              <w:right w:val="single" w:sz="4" w:space="0" w:color="auto"/>
            </w:tcBorders>
          </w:tcPr>
          <w:p w14:paraId="4D0E2154" w14:textId="77777777" w:rsidR="008560D0" w:rsidRDefault="00000000">
            <w:pPr>
              <w:pStyle w:val="TAL"/>
              <w:rPr>
                <w:b/>
                <w:i/>
                <w:lang w:val="en-US" w:eastAsia="en-GB"/>
              </w:rPr>
            </w:pPr>
            <w:r>
              <w:rPr>
                <w:b/>
                <w:i/>
                <w:lang w:val="en-US" w:eastAsia="en-GB"/>
              </w:rPr>
              <w:t>timeToTrigger</w:t>
            </w:r>
          </w:p>
          <w:p w14:paraId="32217500" w14:textId="77777777" w:rsidR="008560D0" w:rsidRDefault="00000000">
            <w:pPr>
              <w:pStyle w:val="TAL"/>
              <w:rPr>
                <w:b/>
                <w:i/>
                <w:lang w:val="en-US" w:eastAsia="sv-SE"/>
              </w:rPr>
            </w:pPr>
            <w:r>
              <w:rPr>
                <w:lang w:val="en-US" w:eastAsia="en-GB"/>
              </w:rPr>
              <w:t>Time during which specific criteria for the event needs to be met in order to trigger a measurement report.</w:t>
            </w:r>
          </w:p>
        </w:tc>
      </w:tr>
      <w:tr w:rsidR="008560D0" w14:paraId="059402A2" w14:textId="77777777">
        <w:tc>
          <w:tcPr>
            <w:tcW w:w="5000" w:type="pct"/>
            <w:tcBorders>
              <w:top w:val="single" w:sz="4" w:space="0" w:color="auto"/>
              <w:left w:val="single" w:sz="4" w:space="0" w:color="auto"/>
              <w:bottom w:val="single" w:sz="4" w:space="0" w:color="auto"/>
              <w:right w:val="single" w:sz="4" w:space="0" w:color="auto"/>
            </w:tcBorders>
          </w:tcPr>
          <w:p w14:paraId="2DC2C92C" w14:textId="77777777" w:rsidR="008560D0" w:rsidRDefault="00000000">
            <w:pPr>
              <w:pStyle w:val="TAL"/>
              <w:rPr>
                <w:b/>
                <w:bCs/>
                <w:i/>
                <w:iCs/>
                <w:szCs w:val="20"/>
                <w:lang w:val="en-US" w:eastAsia="ko-KR"/>
              </w:rPr>
            </w:pPr>
            <w:r>
              <w:rPr>
                <w:b/>
                <w:bCs/>
                <w:i/>
                <w:iCs/>
                <w:lang w:val="en-US" w:eastAsia="ko-KR"/>
              </w:rPr>
              <w:t>useAllowedCellList</w:t>
            </w:r>
          </w:p>
          <w:p w14:paraId="24AC6B10" w14:textId="77777777" w:rsidR="008560D0" w:rsidRDefault="00000000">
            <w:pPr>
              <w:pStyle w:val="TAL"/>
              <w:rPr>
                <w:bCs/>
                <w:lang w:val="en-US" w:eastAsia="sv-SE"/>
              </w:rPr>
            </w:pPr>
            <w:r>
              <w:rPr>
                <w:lang w:val="en-US" w:eastAsia="ko-KR"/>
              </w:rPr>
              <w:t>Indicates whether only the cells included in the allow-list of the associated measObject are applicable as specified in 5.5.4.1.</w:t>
            </w:r>
          </w:p>
        </w:tc>
      </w:tr>
      <w:tr w:rsidR="008560D0" w14:paraId="702C2106" w14:textId="77777777">
        <w:tc>
          <w:tcPr>
            <w:tcW w:w="5000" w:type="pct"/>
            <w:tcBorders>
              <w:top w:val="single" w:sz="4" w:space="0" w:color="auto"/>
              <w:left w:val="single" w:sz="4" w:space="0" w:color="auto"/>
              <w:bottom w:val="single" w:sz="4" w:space="0" w:color="auto"/>
              <w:right w:val="single" w:sz="4" w:space="0" w:color="auto"/>
            </w:tcBorders>
          </w:tcPr>
          <w:p w14:paraId="1A35AEB6" w14:textId="77777777" w:rsidR="008560D0" w:rsidRDefault="00000000">
            <w:pPr>
              <w:keepNext/>
              <w:keepLines/>
              <w:ind w:rightChars="-617" w:right="-1296"/>
              <w:rPr>
                <w:rFonts w:eastAsia="宋体"/>
                <w:lang w:eastAsia="sv-SE"/>
              </w:rPr>
            </w:pPr>
            <w:r>
              <w:rPr>
                <w:rFonts w:ascii="Arial" w:hAnsi="Arial"/>
                <w:b/>
                <w:bCs/>
                <w:i/>
                <w:sz w:val="18"/>
                <w:lang w:eastAsia="sv-SE"/>
              </w:rPr>
              <w:t>useT312</w:t>
            </w:r>
          </w:p>
          <w:p w14:paraId="187C35E4" w14:textId="77777777" w:rsidR="008560D0" w:rsidRDefault="00000000">
            <w:pPr>
              <w:pStyle w:val="TAL"/>
              <w:rPr>
                <w:rFonts w:eastAsia="Times New Roman"/>
                <w:b/>
                <w:i/>
                <w:lang w:val="en-US" w:eastAsia="en-GB"/>
              </w:rPr>
            </w:pPr>
            <w:r>
              <w:rPr>
                <w:lang w:val="en-US" w:eastAsia="ko-KR"/>
              </w:rPr>
              <w:t xml:space="preserve">If value </w:t>
            </w:r>
            <w:r>
              <w:rPr>
                <w:i/>
                <w:lang w:val="en-US" w:eastAsia="ko-KR"/>
              </w:rPr>
              <w:t>TRUE</w:t>
            </w:r>
            <w:r>
              <w:rPr>
                <w:lang w:val="en-US" w:eastAsia="ko-KR"/>
              </w:rPr>
              <w:t xml:space="preserve"> is configured, the UE shall use the timer T312 with the value </w:t>
            </w:r>
            <w:r>
              <w:rPr>
                <w:i/>
                <w:lang w:val="en-US" w:eastAsia="ko-KR"/>
              </w:rPr>
              <w:t>t312</w:t>
            </w:r>
            <w:r>
              <w:rPr>
                <w:lang w:val="en-US" w:eastAsia="ko-KR"/>
              </w:rPr>
              <w:t xml:space="preserve"> as specified in the corresponding </w:t>
            </w:r>
            <w:r>
              <w:rPr>
                <w:i/>
                <w:lang w:val="en-US" w:eastAsia="en-GB"/>
              </w:rPr>
              <w:t>measObjectNR</w:t>
            </w:r>
            <w:r>
              <w:rPr>
                <w:lang w:val="en-US" w:eastAsia="ko-KR"/>
              </w:rPr>
              <w:t xml:space="preserve">. If value FALSE is configured, the timer T312 is considered as disabled. </w:t>
            </w:r>
            <w:r>
              <w:rPr>
                <w:rFonts w:eastAsia="Malgun Gothic"/>
                <w:lang w:val="en-US" w:eastAsia="ko-KR"/>
              </w:rPr>
              <w:t>Network</w:t>
            </w:r>
            <w:r>
              <w:rPr>
                <w:lang w:val="en-US" w:eastAsia="en-GB"/>
              </w:rPr>
              <w:t xml:space="preserve"> configures </w:t>
            </w:r>
            <w:r>
              <w:rPr>
                <w:lang w:val="en-US" w:eastAsia="ko-KR"/>
              </w:rPr>
              <w:t xml:space="preserve">value </w:t>
            </w:r>
            <w:r>
              <w:rPr>
                <w:i/>
                <w:lang w:val="en-US" w:eastAsia="ko-KR"/>
              </w:rPr>
              <w:t>TRUE</w:t>
            </w:r>
            <w:r>
              <w:rPr>
                <w:lang w:val="en-US" w:eastAsia="ko-KR"/>
              </w:rPr>
              <w:t xml:space="preserve"> </w:t>
            </w:r>
            <w:r>
              <w:rPr>
                <w:lang w:val="en-US" w:eastAsia="en-GB"/>
              </w:rPr>
              <w:t xml:space="preserve">only if </w:t>
            </w:r>
            <w:r>
              <w:rPr>
                <w:i/>
                <w:lang w:val="en-US" w:eastAsia="sv-SE"/>
              </w:rPr>
              <w:t>reportType</w:t>
            </w:r>
            <w:r>
              <w:rPr>
                <w:lang w:val="en-US" w:eastAsia="sv-SE"/>
              </w:rPr>
              <w:t xml:space="preserve"> </w:t>
            </w:r>
            <w:r>
              <w:rPr>
                <w:lang w:val="en-US" w:eastAsia="en-GB"/>
              </w:rPr>
              <w:t xml:space="preserve">is set to </w:t>
            </w:r>
            <w:r>
              <w:rPr>
                <w:i/>
                <w:lang w:val="en-US" w:eastAsia="sv-SE"/>
              </w:rPr>
              <w:t>eventTriggered</w:t>
            </w:r>
            <w:r>
              <w:rPr>
                <w:lang w:val="en-US" w:eastAsia="en-GB"/>
              </w:rPr>
              <w:t>.</w:t>
            </w:r>
          </w:p>
        </w:tc>
      </w:tr>
    </w:tbl>
    <w:tbl>
      <w:tblPr>
        <w:tblpPr w:leftFromText="180" w:rightFromText="180" w:vertAnchor="text" w:horzAnchor="margin" w:tblpY="234"/>
        <w:tblOverlap w:val="neve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8560D0" w14:paraId="52F443AD" w14:textId="77777777">
        <w:trPr>
          <w:cantSplit/>
        </w:trPr>
        <w:tc>
          <w:tcPr>
            <w:tcW w:w="5000" w:type="pct"/>
            <w:tcBorders>
              <w:top w:val="single" w:sz="4" w:space="0" w:color="808080"/>
              <w:left w:val="single" w:sz="4" w:space="0" w:color="808080"/>
              <w:bottom w:val="single" w:sz="4" w:space="0" w:color="808080"/>
              <w:right w:val="single" w:sz="4" w:space="0" w:color="808080"/>
            </w:tcBorders>
          </w:tcPr>
          <w:p w14:paraId="04F8AC3D" w14:textId="77777777" w:rsidR="008560D0" w:rsidRDefault="00000000">
            <w:pPr>
              <w:keepNext/>
              <w:keepLines/>
              <w:overflowPunct w:val="0"/>
              <w:autoSpaceDE w:val="0"/>
              <w:autoSpaceDN w:val="0"/>
              <w:adjustRightInd w:val="0"/>
              <w:spacing w:before="100" w:beforeAutospacing="1"/>
              <w:textAlignment w:val="baseline"/>
              <w:rPr>
                <w:rFonts w:ascii="Arial" w:eastAsia="Times New Roman" w:hAnsi="Arial" w:cs="Times New Roman"/>
                <w:b/>
                <w:sz w:val="18"/>
                <w:szCs w:val="18"/>
              </w:rPr>
            </w:pPr>
            <w:r>
              <w:rPr>
                <w:rFonts w:ascii="Arial" w:eastAsia="Times New Roman" w:hAnsi="Arial" w:cs="Times New Roman"/>
                <w:b/>
                <w:i/>
                <w:kern w:val="0"/>
                <w:sz w:val="18"/>
                <w:szCs w:val="18"/>
                <w:lang w:bidi="ar"/>
              </w:rPr>
              <w:t xml:space="preserve">SIB19 </w:t>
            </w:r>
            <w:r>
              <w:rPr>
                <w:rFonts w:ascii="Arial" w:eastAsia="Times New Roman" w:hAnsi="Arial" w:cs="Times New Roman"/>
                <w:b/>
                <w:iCs/>
                <w:kern w:val="0"/>
                <w:sz w:val="18"/>
                <w:szCs w:val="18"/>
                <w:lang w:bidi="ar"/>
              </w:rPr>
              <w:t>field descriptions</w:t>
            </w:r>
          </w:p>
        </w:tc>
      </w:tr>
      <w:tr w:rsidR="008560D0" w14:paraId="2B247A99" w14:textId="77777777">
        <w:trPr>
          <w:cantSplit/>
          <w:trHeight w:val="1340"/>
        </w:trPr>
        <w:tc>
          <w:tcPr>
            <w:tcW w:w="5000" w:type="pct"/>
            <w:tcBorders>
              <w:top w:val="single" w:sz="4" w:space="0" w:color="808080"/>
              <w:left w:val="single" w:sz="4" w:space="0" w:color="808080"/>
              <w:bottom w:val="single" w:sz="4" w:space="0" w:color="808080"/>
              <w:right w:val="single" w:sz="4" w:space="0" w:color="808080"/>
            </w:tcBorders>
          </w:tcPr>
          <w:p w14:paraId="7FD5216E" w14:textId="77777777" w:rsidR="008560D0" w:rsidRDefault="00000000">
            <w:pPr>
              <w:pStyle w:val="afff7"/>
              <w:keepNext/>
              <w:keepLines/>
              <w:overflowPunct w:val="0"/>
              <w:autoSpaceDE w:val="0"/>
              <w:autoSpaceDN w:val="0"/>
              <w:adjustRightInd w:val="0"/>
              <w:spacing w:before="0" w:after="0" w:afterAutospacing="0"/>
              <w:textAlignment w:val="baseline"/>
              <w:rPr>
                <w:rFonts w:ascii="Arial" w:eastAsia="Times New Roman" w:hAnsi="Arial"/>
                <w:b/>
                <w:bCs/>
                <w:i/>
                <w:iCs/>
                <w:sz w:val="18"/>
                <w:szCs w:val="18"/>
              </w:rPr>
            </w:pPr>
            <w:r>
              <w:rPr>
                <w:rFonts w:ascii="Arial" w:eastAsia="Times New Roman" w:hAnsi="Arial"/>
                <w:b/>
                <w:bCs/>
                <w:i/>
                <w:iCs/>
                <w:kern w:val="0"/>
                <w:sz w:val="18"/>
                <w:szCs w:val="18"/>
                <w:lang w:eastAsia="zh-CN" w:bidi="ar"/>
              </w:rPr>
              <w:t>movingReferenceLocation</w:t>
            </w:r>
          </w:p>
          <w:p w14:paraId="2E707425" w14:textId="77777777" w:rsidR="008560D0" w:rsidRDefault="00000000">
            <w:pPr>
              <w:pStyle w:val="afff7"/>
              <w:keepNext/>
              <w:keepLines/>
              <w:overflowPunct w:val="0"/>
              <w:autoSpaceDE w:val="0"/>
              <w:autoSpaceDN w:val="0"/>
              <w:adjustRightInd w:val="0"/>
              <w:spacing w:before="0" w:beforeAutospacing="0" w:after="0" w:afterAutospacing="0" w:line="279" w:lineRule="auto"/>
              <w:textAlignment w:val="baseline"/>
              <w:rPr>
                <w:rFonts w:ascii="Arial" w:eastAsia="Times New Roman" w:hAnsi="Arial"/>
                <w:b/>
                <w:bCs/>
                <w:i/>
                <w:iCs/>
                <w:sz w:val="18"/>
                <w:szCs w:val="18"/>
              </w:rPr>
            </w:pPr>
            <w:r>
              <w:rPr>
                <w:rFonts w:ascii="Arial" w:eastAsia="Times New Roman" w:hAnsi="Arial"/>
                <w:kern w:val="0"/>
                <w:sz w:val="18"/>
                <w:szCs w:val="18"/>
                <w:lang w:eastAsia="zh-CN" w:bidi="ar"/>
              </w:rPr>
              <w:t xml:space="preserve">Reference location of the serving cell of an NTN Earth-moving cell at a time reference. It is used in the evaluation of </w:t>
            </w:r>
            <w:r>
              <w:rPr>
                <w:rFonts w:ascii="Arial" w:eastAsia="Times New Roman" w:hAnsi="Arial"/>
                <w:i/>
                <w:iCs/>
                <w:kern w:val="0"/>
                <w:sz w:val="18"/>
                <w:szCs w:val="18"/>
                <w:highlight w:val="yellow"/>
                <w:lang w:eastAsia="zh-CN" w:bidi="ar"/>
              </w:rPr>
              <w:t>eventD2</w:t>
            </w:r>
            <w:r>
              <w:rPr>
                <w:rFonts w:ascii="Arial" w:eastAsia="Times New Roman" w:hAnsi="Arial"/>
                <w:kern w:val="0"/>
                <w:sz w:val="18"/>
                <w:szCs w:val="18"/>
                <w:highlight w:val="yellow"/>
                <w:lang w:eastAsia="zh-CN" w:bidi="ar"/>
              </w:rPr>
              <w:t xml:space="preserve"> and </w:t>
            </w:r>
            <w:r>
              <w:rPr>
                <w:rFonts w:ascii="Arial" w:eastAsia="Times New Roman" w:hAnsi="Arial"/>
                <w:i/>
                <w:iCs/>
                <w:kern w:val="0"/>
                <w:sz w:val="18"/>
                <w:szCs w:val="18"/>
                <w:highlight w:val="yellow"/>
                <w:lang w:eastAsia="zh-CN" w:bidi="ar"/>
              </w:rPr>
              <w:t>condEventD2</w:t>
            </w:r>
            <w:r>
              <w:rPr>
                <w:rFonts w:ascii="Arial" w:eastAsia="Times New Roman" w:hAnsi="Arial"/>
                <w:kern w:val="0"/>
                <w:sz w:val="18"/>
                <w:szCs w:val="18"/>
                <w:highlight w:val="yellow"/>
                <w:lang w:eastAsia="zh-CN" w:bidi="ar"/>
              </w:rPr>
              <w:t xml:space="preserve"> </w:t>
            </w:r>
            <w:r>
              <w:rPr>
                <w:rFonts w:ascii="Arial" w:eastAsia="Times New Roman" w:hAnsi="Arial"/>
                <w:kern w:val="0"/>
                <w:sz w:val="18"/>
                <w:szCs w:val="18"/>
                <w:lang w:eastAsia="zh-CN" w:bidi="ar"/>
              </w:rPr>
              <w:t xml:space="preserve">criteria for the serving cell in RRC_CONNECTED, and </w:t>
            </w:r>
            <w:r>
              <w:rPr>
                <w:rFonts w:ascii="Arial" w:eastAsia="Times New Roman" w:hAnsi="Arial"/>
                <w:kern w:val="0"/>
                <w:sz w:val="18"/>
                <w:szCs w:val="18"/>
                <w:highlight w:val="yellow"/>
                <w:shd w:val="clear" w:color="auto" w:fill="FFFF00"/>
                <w:lang w:eastAsia="zh-CN" w:bidi="ar"/>
              </w:rPr>
              <w:t xml:space="preserve">location-based measurement </w:t>
            </w:r>
            <w:r>
              <w:rPr>
                <w:rFonts w:ascii="Arial" w:eastAsia="Times New Roman" w:hAnsi="Arial"/>
                <w:kern w:val="0"/>
                <w:sz w:val="18"/>
                <w:szCs w:val="18"/>
                <w:highlight w:val="yellow"/>
                <w:lang w:eastAsia="zh-CN" w:bidi="ar"/>
              </w:rPr>
              <w:t xml:space="preserve">initiation </w:t>
            </w:r>
            <w:r>
              <w:rPr>
                <w:rFonts w:ascii="Arial" w:eastAsia="Times New Roman" w:hAnsi="Arial"/>
                <w:kern w:val="0"/>
                <w:sz w:val="18"/>
                <w:szCs w:val="18"/>
                <w:lang w:eastAsia="zh-CN" w:bidi="ar"/>
              </w:rPr>
              <w:t xml:space="preserve">in RRC_IDLE and RRC_INACTIVE when </w:t>
            </w:r>
            <w:r>
              <w:rPr>
                <w:rFonts w:ascii="Arial" w:eastAsia="Times New Roman" w:hAnsi="Arial"/>
                <w:i/>
                <w:iCs/>
                <w:kern w:val="0"/>
                <w:sz w:val="18"/>
                <w:szCs w:val="18"/>
                <w:lang w:eastAsia="zh-CN" w:bidi="ar"/>
              </w:rPr>
              <w:t>distanceThresh</w:t>
            </w:r>
            <w:r>
              <w:rPr>
                <w:rFonts w:ascii="Arial" w:eastAsia="Times New Roman" w:hAnsi="Arial"/>
                <w:kern w:val="0"/>
                <w:sz w:val="18"/>
                <w:szCs w:val="18"/>
                <w:lang w:eastAsia="zh-CN" w:bidi="ar"/>
              </w:rPr>
              <w:t xml:space="preserve"> is also configured, as defined in TS 38.304 [20]. The time reference of this field is indicated by </w:t>
            </w:r>
            <w:r>
              <w:rPr>
                <w:rFonts w:ascii="Arial" w:eastAsia="Times New Roman" w:hAnsi="Arial"/>
                <w:i/>
                <w:iCs/>
                <w:kern w:val="0"/>
                <w:sz w:val="18"/>
                <w:szCs w:val="18"/>
                <w:u w:val="single"/>
                <w:lang w:eastAsia="zh-CN" w:bidi="ar"/>
              </w:rPr>
              <w:t>epochTime</w:t>
            </w:r>
            <w:r>
              <w:rPr>
                <w:rFonts w:ascii="Arial" w:eastAsia="Times New Roman" w:hAnsi="Arial"/>
                <w:kern w:val="0"/>
                <w:sz w:val="18"/>
                <w:szCs w:val="18"/>
                <w:u w:val="single"/>
                <w:lang w:eastAsia="zh-CN" w:bidi="ar"/>
              </w:rPr>
              <w:t xml:space="preserve"> in </w:t>
            </w:r>
            <w:r>
              <w:rPr>
                <w:rFonts w:ascii="Arial" w:eastAsia="Times New Roman" w:hAnsi="Arial"/>
                <w:i/>
                <w:iCs/>
                <w:kern w:val="0"/>
                <w:sz w:val="18"/>
                <w:szCs w:val="18"/>
                <w:u w:val="single"/>
                <w:lang w:eastAsia="zh-CN" w:bidi="ar"/>
              </w:rPr>
              <w:t>ntn-Config</w:t>
            </w:r>
            <w:r>
              <w:rPr>
                <w:rFonts w:ascii="Arial" w:eastAsia="Times New Roman" w:hAnsi="Arial"/>
                <w:kern w:val="0"/>
                <w:sz w:val="18"/>
                <w:szCs w:val="18"/>
                <w:u w:val="single"/>
                <w:lang w:eastAsia="zh-CN" w:bidi="ar"/>
              </w:rPr>
              <w:t xml:space="preserve"> of the serving cell</w:t>
            </w:r>
            <w:r>
              <w:rPr>
                <w:rFonts w:ascii="Arial" w:eastAsia="Times New Roman" w:hAnsi="Arial"/>
                <w:kern w:val="0"/>
                <w:sz w:val="18"/>
                <w:szCs w:val="18"/>
                <w:lang w:eastAsia="zh-CN" w:bidi="ar"/>
              </w:rPr>
              <w:t xml:space="preserve">. This field is excluded when determining changes in system information, i.e., changes to </w:t>
            </w:r>
            <w:r>
              <w:rPr>
                <w:rFonts w:ascii="Arial" w:eastAsia="Times New Roman" w:hAnsi="Arial"/>
                <w:i/>
                <w:iCs/>
                <w:kern w:val="0"/>
                <w:sz w:val="18"/>
                <w:szCs w:val="18"/>
                <w:lang w:eastAsia="zh-CN" w:bidi="ar"/>
              </w:rPr>
              <w:t>movingReferenceLocation</w:t>
            </w:r>
            <w:r>
              <w:rPr>
                <w:rFonts w:ascii="Arial" w:eastAsia="Times New Roman" w:hAnsi="Arial"/>
                <w:kern w:val="0"/>
                <w:sz w:val="18"/>
                <w:szCs w:val="18"/>
                <w:lang w:eastAsia="zh-CN" w:bidi="ar"/>
              </w:rPr>
              <w:t xml:space="preserve"> should neither result in system information change notifications nor in a modification of </w:t>
            </w:r>
            <w:r>
              <w:rPr>
                <w:rFonts w:ascii="Arial" w:eastAsia="Times New Roman" w:hAnsi="Arial"/>
                <w:i/>
                <w:iCs/>
                <w:kern w:val="0"/>
                <w:sz w:val="18"/>
                <w:szCs w:val="18"/>
                <w:lang w:eastAsia="zh-CN" w:bidi="ar"/>
              </w:rPr>
              <w:t>valueTag</w:t>
            </w:r>
            <w:r>
              <w:rPr>
                <w:rFonts w:ascii="Arial" w:eastAsia="Times New Roman" w:hAnsi="Arial"/>
                <w:kern w:val="0"/>
                <w:sz w:val="18"/>
                <w:szCs w:val="18"/>
                <w:lang w:eastAsia="zh-CN" w:bidi="ar"/>
              </w:rPr>
              <w:t xml:space="preserve"> in </w:t>
            </w:r>
            <w:r>
              <w:rPr>
                <w:rFonts w:ascii="Arial" w:eastAsia="Times New Roman" w:hAnsi="Arial"/>
                <w:i/>
                <w:iCs/>
                <w:kern w:val="0"/>
                <w:sz w:val="18"/>
                <w:szCs w:val="18"/>
                <w:lang w:eastAsia="zh-CN" w:bidi="ar"/>
              </w:rPr>
              <w:t>SIB1</w:t>
            </w:r>
            <w:r>
              <w:rPr>
                <w:rFonts w:ascii="Arial" w:eastAsia="Times New Roman" w:hAnsi="Arial"/>
                <w:kern w:val="0"/>
                <w:sz w:val="18"/>
                <w:szCs w:val="18"/>
                <w:lang w:eastAsia="zh-CN" w:bidi="ar"/>
              </w:rPr>
              <w:t>. This field is only present in an NTN cell.</w:t>
            </w:r>
          </w:p>
        </w:tc>
      </w:tr>
    </w:tbl>
    <w:p w14:paraId="332115AA" w14:textId="77777777" w:rsidR="008560D0" w:rsidRDefault="008560D0">
      <w:pPr>
        <w:rPr>
          <w:rFonts w:ascii="Times New Roman" w:eastAsia="宋体" w:hAnsi="Times New Roman"/>
          <w:sz w:val="20"/>
        </w:rPr>
      </w:pPr>
    </w:p>
    <w:p w14:paraId="0E391E66" w14:textId="77777777" w:rsidR="008560D0" w:rsidRDefault="008560D0">
      <w:pPr>
        <w:rPr>
          <w:rFonts w:ascii="Times New Roman" w:eastAsia="宋体" w:hAnsi="Times New Roman"/>
          <w:sz w:val="20"/>
        </w:rPr>
      </w:pPr>
    </w:p>
    <w:sectPr w:rsidR="008560D0">
      <w:headerReference w:type="even" r:id="rId13"/>
      <w:footerReference w:type="default" r:id="rId14"/>
      <w:footnotePr>
        <w:numRestart w:val="eachSect"/>
      </w:footnotePr>
      <w:pgSz w:w="11907" w:h="16840"/>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A7536" w14:textId="77777777" w:rsidR="00C628D1" w:rsidRDefault="00C628D1">
      <w:r>
        <w:separator/>
      </w:r>
    </w:p>
  </w:endnote>
  <w:endnote w:type="continuationSeparator" w:id="0">
    <w:p w14:paraId="57E8334F" w14:textId="77777777" w:rsidR="00C628D1" w:rsidRDefault="00C62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Times New Roman"/>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A3832" w14:textId="77777777" w:rsidR="008560D0" w:rsidRDefault="00000000">
    <w:pPr>
      <w:pStyle w:val="aff8"/>
      <w:tabs>
        <w:tab w:val="center" w:pos="4820"/>
        <w:tab w:val="right" w:pos="9639"/>
      </w:tabs>
      <w:jc w:val="left"/>
    </w:pPr>
    <w:r>
      <w:tab/>
    </w:r>
    <w:r>
      <w:rPr>
        <w:rStyle w:val="affff0"/>
      </w:rPr>
      <w:fldChar w:fldCharType="begin"/>
    </w:r>
    <w:r>
      <w:rPr>
        <w:rStyle w:val="affff0"/>
      </w:rPr>
      <w:instrText xml:space="preserve"> PAGE </w:instrText>
    </w:r>
    <w:r>
      <w:rPr>
        <w:rStyle w:val="affff0"/>
      </w:rPr>
      <w:fldChar w:fldCharType="separate"/>
    </w:r>
    <w:r>
      <w:rPr>
        <w:rStyle w:val="affff0"/>
      </w:rPr>
      <w:t>5</w:t>
    </w:r>
    <w:r>
      <w:rPr>
        <w:rStyle w:val="affff0"/>
      </w:rPr>
      <w:fldChar w:fldCharType="end"/>
    </w:r>
    <w:r>
      <w:rPr>
        <w:rStyle w:val="affff0"/>
      </w:rPr>
      <w:t>/</w:t>
    </w:r>
    <w:r>
      <w:rPr>
        <w:rStyle w:val="affff0"/>
      </w:rPr>
      <w:fldChar w:fldCharType="begin"/>
    </w:r>
    <w:r>
      <w:rPr>
        <w:rStyle w:val="affff0"/>
      </w:rPr>
      <w:instrText xml:space="preserve"> NUMPAGES </w:instrText>
    </w:r>
    <w:r>
      <w:rPr>
        <w:rStyle w:val="affff0"/>
      </w:rPr>
      <w:fldChar w:fldCharType="separate"/>
    </w:r>
    <w:r>
      <w:rPr>
        <w:rStyle w:val="affff0"/>
      </w:rPr>
      <w:t>5</w:t>
    </w:r>
    <w:r>
      <w:rPr>
        <w:rStyle w:val="affff0"/>
      </w:rPr>
      <w:fldChar w:fldCharType="end"/>
    </w:r>
    <w:r>
      <w:rPr>
        <w:rStyle w:val="aff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737BF" w14:textId="77777777" w:rsidR="00C628D1" w:rsidRDefault="00C628D1">
      <w:r>
        <w:separator/>
      </w:r>
    </w:p>
  </w:footnote>
  <w:footnote w:type="continuationSeparator" w:id="0">
    <w:p w14:paraId="774B4B69" w14:textId="77777777" w:rsidR="00C628D1" w:rsidRDefault="00C62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25836" w14:textId="77777777" w:rsidR="008560D0"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lowerRoman"/>
      <w:pStyle w:val="3"/>
      <w:lvlText w:val="%1."/>
      <w:lvlJc w:val="right"/>
      <w:pPr>
        <w:ind w:left="926" w:hanging="360"/>
      </w:pPr>
    </w:lvl>
  </w:abstractNum>
  <w:abstractNum w:abstractNumId="3"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4" w15:restartNumberingAfterBreak="0">
    <w:nsid w:val="0F847706"/>
    <w:multiLevelType w:val="multilevel"/>
    <w:tmpl w:val="0F847706"/>
    <w:lvl w:ilvl="0">
      <w:start w:val="1"/>
      <w:numFmt w:val="bullet"/>
      <w:pStyle w:val="41"/>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2A77B5"/>
    <w:multiLevelType w:val="multilevel"/>
    <w:tmpl w:val="302A77B5"/>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2"/>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0526EB1"/>
    <w:multiLevelType w:val="multilevel"/>
    <w:tmpl w:val="30526EB1"/>
    <w:lvl w:ilvl="0">
      <w:start w:val="1"/>
      <w:numFmt w:val="bullet"/>
      <w:pStyle w:val="Agreement"/>
      <w:lvlText w:val=""/>
      <w:lvlJc w:val="left"/>
      <w:pPr>
        <w:ind w:left="1699" w:hanging="440"/>
      </w:pPr>
      <w:rPr>
        <w:rFonts w:ascii="Symbol" w:hAnsi="Symbol" w:hint="default"/>
        <w:b/>
        <w:i w:val="0"/>
        <w:color w:val="auto"/>
        <w:sz w:val="22"/>
      </w:rPr>
    </w:lvl>
    <w:lvl w:ilvl="1">
      <w:start w:val="1"/>
      <w:numFmt w:val="bullet"/>
      <w:lvlText w:val=""/>
      <w:lvlJc w:val="left"/>
      <w:pPr>
        <w:ind w:left="2139" w:hanging="440"/>
      </w:pPr>
      <w:rPr>
        <w:rFonts w:ascii="Wingdings" w:hAnsi="Wingdings" w:hint="default"/>
      </w:rPr>
    </w:lvl>
    <w:lvl w:ilvl="2">
      <w:start w:val="1"/>
      <w:numFmt w:val="bullet"/>
      <w:lvlText w:val=""/>
      <w:lvlJc w:val="left"/>
      <w:pPr>
        <w:ind w:left="2579" w:hanging="440"/>
      </w:pPr>
      <w:rPr>
        <w:rFonts w:ascii="Wingdings" w:hAnsi="Wingdings" w:hint="default"/>
      </w:rPr>
    </w:lvl>
    <w:lvl w:ilvl="3">
      <w:start w:val="1"/>
      <w:numFmt w:val="bullet"/>
      <w:lvlText w:val=""/>
      <w:lvlJc w:val="left"/>
      <w:pPr>
        <w:ind w:left="3019" w:hanging="440"/>
      </w:pPr>
      <w:rPr>
        <w:rFonts w:ascii="Wingdings" w:hAnsi="Wingdings" w:hint="default"/>
      </w:rPr>
    </w:lvl>
    <w:lvl w:ilvl="4">
      <w:start w:val="1"/>
      <w:numFmt w:val="bullet"/>
      <w:lvlText w:val=""/>
      <w:lvlJc w:val="left"/>
      <w:pPr>
        <w:ind w:left="3459" w:hanging="440"/>
      </w:pPr>
      <w:rPr>
        <w:rFonts w:ascii="Wingdings" w:hAnsi="Wingdings" w:hint="default"/>
      </w:rPr>
    </w:lvl>
    <w:lvl w:ilvl="5">
      <w:start w:val="1"/>
      <w:numFmt w:val="bullet"/>
      <w:lvlText w:val=""/>
      <w:lvlJc w:val="left"/>
      <w:pPr>
        <w:ind w:left="3899" w:hanging="440"/>
      </w:pPr>
      <w:rPr>
        <w:rFonts w:ascii="Wingdings" w:hAnsi="Wingdings" w:hint="default"/>
      </w:rPr>
    </w:lvl>
    <w:lvl w:ilvl="6">
      <w:start w:val="1"/>
      <w:numFmt w:val="bullet"/>
      <w:lvlText w:val=""/>
      <w:lvlJc w:val="left"/>
      <w:pPr>
        <w:ind w:left="4339" w:hanging="440"/>
      </w:pPr>
      <w:rPr>
        <w:rFonts w:ascii="Wingdings" w:hAnsi="Wingdings" w:hint="default"/>
      </w:rPr>
    </w:lvl>
    <w:lvl w:ilvl="7">
      <w:start w:val="1"/>
      <w:numFmt w:val="bullet"/>
      <w:lvlText w:val=""/>
      <w:lvlJc w:val="left"/>
      <w:pPr>
        <w:ind w:left="4779" w:hanging="440"/>
      </w:pPr>
      <w:rPr>
        <w:rFonts w:ascii="Wingdings" w:hAnsi="Wingdings" w:hint="default"/>
      </w:rPr>
    </w:lvl>
    <w:lvl w:ilvl="8">
      <w:start w:val="1"/>
      <w:numFmt w:val="bullet"/>
      <w:lvlText w:val=""/>
      <w:lvlJc w:val="left"/>
      <w:pPr>
        <w:ind w:left="5219" w:hanging="440"/>
      </w:pPr>
      <w:rPr>
        <w:rFonts w:ascii="Wingdings" w:hAnsi="Wingdings" w:hint="default"/>
      </w:rPr>
    </w:lvl>
  </w:abstractNum>
  <w:abstractNum w:abstractNumId="10"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5C0F0200"/>
    <w:multiLevelType w:val="multilevel"/>
    <w:tmpl w:val="5C0F0200"/>
    <w:lvl w:ilvl="0">
      <w:start w:val="8"/>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4FF1CEA"/>
    <w:multiLevelType w:val="multilevel"/>
    <w:tmpl w:val="74FF1CEA"/>
    <w:lvl w:ilvl="0">
      <w:start w:val="1"/>
      <w:numFmt w:val="bullet"/>
      <w:pStyle w:val="51"/>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2005014868">
    <w:abstractNumId w:val="8"/>
  </w:num>
  <w:num w:numId="2" w16cid:durableId="136805534">
    <w:abstractNumId w:val="18"/>
  </w:num>
  <w:num w:numId="3" w16cid:durableId="612521252">
    <w:abstractNumId w:val="10"/>
  </w:num>
  <w:num w:numId="4" w16cid:durableId="101003015">
    <w:abstractNumId w:val="4"/>
  </w:num>
  <w:num w:numId="5" w16cid:durableId="1905144929">
    <w:abstractNumId w:val="6"/>
  </w:num>
  <w:num w:numId="6" w16cid:durableId="2128036348">
    <w:abstractNumId w:val="5"/>
  </w:num>
  <w:num w:numId="7" w16cid:durableId="1449012524">
    <w:abstractNumId w:val="15"/>
  </w:num>
  <w:num w:numId="8" w16cid:durableId="292563766">
    <w:abstractNumId w:val="2"/>
  </w:num>
  <w:num w:numId="9" w16cid:durableId="1825856799">
    <w:abstractNumId w:val="19"/>
  </w:num>
  <w:num w:numId="10" w16cid:durableId="1399287501">
    <w:abstractNumId w:val="1"/>
    <w:lvlOverride w:ilvl="0">
      <w:startOverride w:val="1"/>
    </w:lvlOverride>
  </w:num>
  <w:num w:numId="11" w16cid:durableId="37053997">
    <w:abstractNumId w:val="0"/>
    <w:lvlOverride w:ilvl="0">
      <w:startOverride w:val="1"/>
    </w:lvlOverride>
  </w:num>
  <w:num w:numId="12" w16cid:durableId="1979989322">
    <w:abstractNumId w:val="12"/>
  </w:num>
  <w:num w:numId="13" w16cid:durableId="1996715621">
    <w:abstractNumId w:val="11"/>
  </w:num>
  <w:num w:numId="14" w16cid:durableId="805850994">
    <w:abstractNumId w:val="13"/>
  </w:num>
  <w:num w:numId="15" w16cid:durableId="683678289">
    <w:abstractNumId w:val="14"/>
  </w:num>
  <w:num w:numId="16" w16cid:durableId="1243445047">
    <w:abstractNumId w:val="9"/>
  </w:num>
  <w:num w:numId="17" w16cid:durableId="2128622560">
    <w:abstractNumId w:val="7"/>
  </w:num>
  <w:num w:numId="18" w16cid:durableId="1144080644">
    <w:abstractNumId w:val="17"/>
  </w:num>
  <w:num w:numId="19" w16cid:durableId="656306196">
    <w:abstractNumId w:val="3"/>
  </w:num>
  <w:num w:numId="20" w16cid:durableId="12722506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3NzK0NDAwNDAwNbNQ0lEKTi0uzszPAykwqwUAB0NL2SwAAAA="/>
    <w:docVar w:name="commondata" w:val="eyJoZGlkIjoiYzgyYWExZDAyNmVmNzhjMmIzOGU2YjllYjc2NDA5NGIifQ=="/>
    <w:docVar w:name="KSO_WPS_MARK_KEY" w:val="3874a05f-426c-4b05-8927-1ee181679eb9"/>
  </w:docVars>
  <w:rsids>
    <w:rsidRoot w:val="00BB52B0"/>
    <w:rsid w:val="00000094"/>
    <w:rsid w:val="0000018E"/>
    <w:rsid w:val="000006E1"/>
    <w:rsid w:val="000010CD"/>
    <w:rsid w:val="0000232F"/>
    <w:rsid w:val="00002A37"/>
    <w:rsid w:val="00002DC1"/>
    <w:rsid w:val="00003A85"/>
    <w:rsid w:val="00003CF5"/>
    <w:rsid w:val="00003D98"/>
    <w:rsid w:val="0000409D"/>
    <w:rsid w:val="00004814"/>
    <w:rsid w:val="00004FB5"/>
    <w:rsid w:val="0000505D"/>
    <w:rsid w:val="0000564C"/>
    <w:rsid w:val="00006446"/>
    <w:rsid w:val="00006896"/>
    <w:rsid w:val="00006AC8"/>
    <w:rsid w:val="00007B09"/>
    <w:rsid w:val="00007CDC"/>
    <w:rsid w:val="000117C3"/>
    <w:rsid w:val="00011B28"/>
    <w:rsid w:val="00012C1E"/>
    <w:rsid w:val="00013645"/>
    <w:rsid w:val="00013992"/>
    <w:rsid w:val="00014BD4"/>
    <w:rsid w:val="00015D15"/>
    <w:rsid w:val="00015DFE"/>
    <w:rsid w:val="0001623F"/>
    <w:rsid w:val="0001658E"/>
    <w:rsid w:val="00016666"/>
    <w:rsid w:val="00017139"/>
    <w:rsid w:val="00017D6F"/>
    <w:rsid w:val="00020B31"/>
    <w:rsid w:val="00020BBA"/>
    <w:rsid w:val="00021ACF"/>
    <w:rsid w:val="000235AA"/>
    <w:rsid w:val="00023CC2"/>
    <w:rsid w:val="00024C46"/>
    <w:rsid w:val="000252B9"/>
    <w:rsid w:val="0002564D"/>
    <w:rsid w:val="00025ECA"/>
    <w:rsid w:val="00025F6F"/>
    <w:rsid w:val="000264A7"/>
    <w:rsid w:val="00026F50"/>
    <w:rsid w:val="0002718E"/>
    <w:rsid w:val="00027271"/>
    <w:rsid w:val="00027A07"/>
    <w:rsid w:val="00027D83"/>
    <w:rsid w:val="00030388"/>
    <w:rsid w:val="000304CA"/>
    <w:rsid w:val="00031315"/>
    <w:rsid w:val="00031598"/>
    <w:rsid w:val="0003177D"/>
    <w:rsid w:val="000319EE"/>
    <w:rsid w:val="00031C02"/>
    <w:rsid w:val="000321B2"/>
    <w:rsid w:val="000325B8"/>
    <w:rsid w:val="00033677"/>
    <w:rsid w:val="00033EF7"/>
    <w:rsid w:val="00034983"/>
    <w:rsid w:val="00034C15"/>
    <w:rsid w:val="000351B9"/>
    <w:rsid w:val="00035C8C"/>
    <w:rsid w:val="000368C3"/>
    <w:rsid w:val="000368C8"/>
    <w:rsid w:val="00036BA1"/>
    <w:rsid w:val="0003729D"/>
    <w:rsid w:val="00037A23"/>
    <w:rsid w:val="00040244"/>
    <w:rsid w:val="000418CF"/>
    <w:rsid w:val="000422E2"/>
    <w:rsid w:val="000425BA"/>
    <w:rsid w:val="00042D9D"/>
    <w:rsid w:val="00042F22"/>
    <w:rsid w:val="00044009"/>
    <w:rsid w:val="000444EF"/>
    <w:rsid w:val="000445FB"/>
    <w:rsid w:val="00044AD2"/>
    <w:rsid w:val="00044C99"/>
    <w:rsid w:val="000455FB"/>
    <w:rsid w:val="000456BB"/>
    <w:rsid w:val="0005046C"/>
    <w:rsid w:val="00050A7E"/>
    <w:rsid w:val="00050EC9"/>
    <w:rsid w:val="000515FE"/>
    <w:rsid w:val="0005168F"/>
    <w:rsid w:val="00052A07"/>
    <w:rsid w:val="00052C40"/>
    <w:rsid w:val="000534E3"/>
    <w:rsid w:val="00054205"/>
    <w:rsid w:val="0005452C"/>
    <w:rsid w:val="000549E3"/>
    <w:rsid w:val="00054D0D"/>
    <w:rsid w:val="0005524B"/>
    <w:rsid w:val="000552B7"/>
    <w:rsid w:val="0005606A"/>
    <w:rsid w:val="000561BE"/>
    <w:rsid w:val="00057117"/>
    <w:rsid w:val="00057190"/>
    <w:rsid w:val="0005724C"/>
    <w:rsid w:val="0005750E"/>
    <w:rsid w:val="00060FF1"/>
    <w:rsid w:val="000616E7"/>
    <w:rsid w:val="00061DE7"/>
    <w:rsid w:val="00061FBA"/>
    <w:rsid w:val="0006262A"/>
    <w:rsid w:val="00062BF0"/>
    <w:rsid w:val="00062EB8"/>
    <w:rsid w:val="00062ED8"/>
    <w:rsid w:val="00062FAF"/>
    <w:rsid w:val="00062FC6"/>
    <w:rsid w:val="000645E3"/>
    <w:rsid w:val="0006487E"/>
    <w:rsid w:val="00064E3B"/>
    <w:rsid w:val="00064E62"/>
    <w:rsid w:val="000651E9"/>
    <w:rsid w:val="0006540E"/>
    <w:rsid w:val="00065BBB"/>
    <w:rsid w:val="00065E1A"/>
    <w:rsid w:val="00067918"/>
    <w:rsid w:val="00070603"/>
    <w:rsid w:val="00070B24"/>
    <w:rsid w:val="000715BC"/>
    <w:rsid w:val="00071695"/>
    <w:rsid w:val="000717A0"/>
    <w:rsid w:val="00071AC0"/>
    <w:rsid w:val="00071AE2"/>
    <w:rsid w:val="000727B2"/>
    <w:rsid w:val="000733E3"/>
    <w:rsid w:val="000741FB"/>
    <w:rsid w:val="00074B98"/>
    <w:rsid w:val="000754D6"/>
    <w:rsid w:val="000771D1"/>
    <w:rsid w:val="00077532"/>
    <w:rsid w:val="00077E5F"/>
    <w:rsid w:val="00077F8B"/>
    <w:rsid w:val="0008036A"/>
    <w:rsid w:val="0008052D"/>
    <w:rsid w:val="000819F4"/>
    <w:rsid w:val="00081AE6"/>
    <w:rsid w:val="0008269A"/>
    <w:rsid w:val="00082D51"/>
    <w:rsid w:val="00082DF4"/>
    <w:rsid w:val="0008337A"/>
    <w:rsid w:val="0008377C"/>
    <w:rsid w:val="00084C85"/>
    <w:rsid w:val="00084E91"/>
    <w:rsid w:val="0008535A"/>
    <w:rsid w:val="000855EB"/>
    <w:rsid w:val="00085689"/>
    <w:rsid w:val="000857DB"/>
    <w:rsid w:val="00085B52"/>
    <w:rsid w:val="00085C49"/>
    <w:rsid w:val="00085F23"/>
    <w:rsid w:val="000866F2"/>
    <w:rsid w:val="00086779"/>
    <w:rsid w:val="00086A64"/>
    <w:rsid w:val="0009009F"/>
    <w:rsid w:val="00090130"/>
    <w:rsid w:val="000904D2"/>
    <w:rsid w:val="00091338"/>
    <w:rsid w:val="00091557"/>
    <w:rsid w:val="00091D3B"/>
    <w:rsid w:val="00091E58"/>
    <w:rsid w:val="00092372"/>
    <w:rsid w:val="000924C1"/>
    <w:rsid w:val="000924F0"/>
    <w:rsid w:val="00092535"/>
    <w:rsid w:val="00092E2F"/>
    <w:rsid w:val="00092ECD"/>
    <w:rsid w:val="00093474"/>
    <w:rsid w:val="000936FA"/>
    <w:rsid w:val="0009483C"/>
    <w:rsid w:val="00094BA2"/>
    <w:rsid w:val="0009510F"/>
    <w:rsid w:val="0009546A"/>
    <w:rsid w:val="000957B2"/>
    <w:rsid w:val="000959E6"/>
    <w:rsid w:val="00097742"/>
    <w:rsid w:val="000A09D3"/>
    <w:rsid w:val="000A10C0"/>
    <w:rsid w:val="000A1118"/>
    <w:rsid w:val="000A1221"/>
    <w:rsid w:val="000A12EB"/>
    <w:rsid w:val="000A1B7B"/>
    <w:rsid w:val="000A215D"/>
    <w:rsid w:val="000A22D8"/>
    <w:rsid w:val="000A263F"/>
    <w:rsid w:val="000A3375"/>
    <w:rsid w:val="000A3A86"/>
    <w:rsid w:val="000A3D4D"/>
    <w:rsid w:val="000A45FD"/>
    <w:rsid w:val="000A530D"/>
    <w:rsid w:val="000A5599"/>
    <w:rsid w:val="000A56F2"/>
    <w:rsid w:val="000A5EAC"/>
    <w:rsid w:val="000A7B2A"/>
    <w:rsid w:val="000B100F"/>
    <w:rsid w:val="000B18DD"/>
    <w:rsid w:val="000B18EE"/>
    <w:rsid w:val="000B1E08"/>
    <w:rsid w:val="000B1EEB"/>
    <w:rsid w:val="000B2719"/>
    <w:rsid w:val="000B2828"/>
    <w:rsid w:val="000B2B39"/>
    <w:rsid w:val="000B2DBC"/>
    <w:rsid w:val="000B2F12"/>
    <w:rsid w:val="000B3A8F"/>
    <w:rsid w:val="000B4AB9"/>
    <w:rsid w:val="000B58C3"/>
    <w:rsid w:val="000B5A72"/>
    <w:rsid w:val="000B61E9"/>
    <w:rsid w:val="000B6356"/>
    <w:rsid w:val="000B7692"/>
    <w:rsid w:val="000C05EA"/>
    <w:rsid w:val="000C0AD4"/>
    <w:rsid w:val="000C0B96"/>
    <w:rsid w:val="000C109C"/>
    <w:rsid w:val="000C165A"/>
    <w:rsid w:val="000C188B"/>
    <w:rsid w:val="000C1BD1"/>
    <w:rsid w:val="000C1F68"/>
    <w:rsid w:val="000C22D4"/>
    <w:rsid w:val="000C2424"/>
    <w:rsid w:val="000C2622"/>
    <w:rsid w:val="000C2C2A"/>
    <w:rsid w:val="000C2CDC"/>
    <w:rsid w:val="000C2E19"/>
    <w:rsid w:val="000C3141"/>
    <w:rsid w:val="000C5882"/>
    <w:rsid w:val="000C6E26"/>
    <w:rsid w:val="000C76D9"/>
    <w:rsid w:val="000D0B2A"/>
    <w:rsid w:val="000D0D07"/>
    <w:rsid w:val="000D1485"/>
    <w:rsid w:val="000D4797"/>
    <w:rsid w:val="000D4B15"/>
    <w:rsid w:val="000D53A8"/>
    <w:rsid w:val="000D5759"/>
    <w:rsid w:val="000D57BC"/>
    <w:rsid w:val="000D5E26"/>
    <w:rsid w:val="000D6004"/>
    <w:rsid w:val="000D6477"/>
    <w:rsid w:val="000D6765"/>
    <w:rsid w:val="000D6AF9"/>
    <w:rsid w:val="000D6C9C"/>
    <w:rsid w:val="000D6D11"/>
    <w:rsid w:val="000D70BD"/>
    <w:rsid w:val="000E01B0"/>
    <w:rsid w:val="000E0268"/>
    <w:rsid w:val="000E0527"/>
    <w:rsid w:val="000E0CF7"/>
    <w:rsid w:val="000E0DB9"/>
    <w:rsid w:val="000E0E14"/>
    <w:rsid w:val="000E0E63"/>
    <w:rsid w:val="000E139C"/>
    <w:rsid w:val="000E1E92"/>
    <w:rsid w:val="000E21F7"/>
    <w:rsid w:val="000E2B58"/>
    <w:rsid w:val="000E47CC"/>
    <w:rsid w:val="000E54A5"/>
    <w:rsid w:val="000E6D73"/>
    <w:rsid w:val="000E6DB9"/>
    <w:rsid w:val="000E6EB9"/>
    <w:rsid w:val="000E70A9"/>
    <w:rsid w:val="000F04D1"/>
    <w:rsid w:val="000F06D6"/>
    <w:rsid w:val="000F0EB1"/>
    <w:rsid w:val="000F1106"/>
    <w:rsid w:val="000F1BCA"/>
    <w:rsid w:val="000F20B4"/>
    <w:rsid w:val="000F2C63"/>
    <w:rsid w:val="000F30F4"/>
    <w:rsid w:val="000F3BE9"/>
    <w:rsid w:val="000F3F6C"/>
    <w:rsid w:val="000F41AD"/>
    <w:rsid w:val="000F4934"/>
    <w:rsid w:val="000F4AAE"/>
    <w:rsid w:val="000F58BE"/>
    <w:rsid w:val="000F62A7"/>
    <w:rsid w:val="000F62B3"/>
    <w:rsid w:val="000F6394"/>
    <w:rsid w:val="000F6424"/>
    <w:rsid w:val="000F660E"/>
    <w:rsid w:val="000F6A5F"/>
    <w:rsid w:val="000F6D0A"/>
    <w:rsid w:val="000F6DF3"/>
    <w:rsid w:val="000F6F1A"/>
    <w:rsid w:val="000F7E60"/>
    <w:rsid w:val="001005FF"/>
    <w:rsid w:val="00100C38"/>
    <w:rsid w:val="00100F06"/>
    <w:rsid w:val="0010127B"/>
    <w:rsid w:val="00101637"/>
    <w:rsid w:val="001032E8"/>
    <w:rsid w:val="00103A03"/>
    <w:rsid w:val="0010414A"/>
    <w:rsid w:val="00105A73"/>
    <w:rsid w:val="001062FB"/>
    <w:rsid w:val="001063E6"/>
    <w:rsid w:val="00106A4A"/>
    <w:rsid w:val="00106B09"/>
    <w:rsid w:val="00106B49"/>
    <w:rsid w:val="00107E83"/>
    <w:rsid w:val="001103A5"/>
    <w:rsid w:val="00110A2C"/>
    <w:rsid w:val="00110B23"/>
    <w:rsid w:val="00110D17"/>
    <w:rsid w:val="00111999"/>
    <w:rsid w:val="001122DB"/>
    <w:rsid w:val="00112A86"/>
    <w:rsid w:val="00113CF4"/>
    <w:rsid w:val="001142F1"/>
    <w:rsid w:val="00114D46"/>
    <w:rsid w:val="001153EA"/>
    <w:rsid w:val="00115643"/>
    <w:rsid w:val="001162A8"/>
    <w:rsid w:val="00116765"/>
    <w:rsid w:val="001171EB"/>
    <w:rsid w:val="00117B67"/>
    <w:rsid w:val="001210DE"/>
    <w:rsid w:val="00121570"/>
    <w:rsid w:val="00121752"/>
    <w:rsid w:val="001219F5"/>
    <w:rsid w:val="00121A20"/>
    <w:rsid w:val="00121E0C"/>
    <w:rsid w:val="00123386"/>
    <w:rsid w:val="001235FD"/>
    <w:rsid w:val="00123610"/>
    <w:rsid w:val="001236C1"/>
    <w:rsid w:val="0012377F"/>
    <w:rsid w:val="00123B7F"/>
    <w:rsid w:val="00124270"/>
    <w:rsid w:val="001242C6"/>
    <w:rsid w:val="00124314"/>
    <w:rsid w:val="0012590E"/>
    <w:rsid w:val="00125FBE"/>
    <w:rsid w:val="00126758"/>
    <w:rsid w:val="00126B4A"/>
    <w:rsid w:val="00126C34"/>
    <w:rsid w:val="00127BBD"/>
    <w:rsid w:val="00130168"/>
    <w:rsid w:val="00130D64"/>
    <w:rsid w:val="00130FF5"/>
    <w:rsid w:val="0013116C"/>
    <w:rsid w:val="0013140E"/>
    <w:rsid w:val="001316D7"/>
    <w:rsid w:val="00131D6D"/>
    <w:rsid w:val="00131F40"/>
    <w:rsid w:val="0013277C"/>
    <w:rsid w:val="00132AF0"/>
    <w:rsid w:val="00132D59"/>
    <w:rsid w:val="00132FD0"/>
    <w:rsid w:val="001337C7"/>
    <w:rsid w:val="0013394F"/>
    <w:rsid w:val="001344C0"/>
    <w:rsid w:val="001346FA"/>
    <w:rsid w:val="00134889"/>
    <w:rsid w:val="00135252"/>
    <w:rsid w:val="001356D5"/>
    <w:rsid w:val="001356F2"/>
    <w:rsid w:val="0013667F"/>
    <w:rsid w:val="00136DC3"/>
    <w:rsid w:val="00137AB5"/>
    <w:rsid w:val="00137F0B"/>
    <w:rsid w:val="00137FD1"/>
    <w:rsid w:val="00140081"/>
    <w:rsid w:val="00140A58"/>
    <w:rsid w:val="00140D56"/>
    <w:rsid w:val="00140EF8"/>
    <w:rsid w:val="00141716"/>
    <w:rsid w:val="00142525"/>
    <w:rsid w:val="00142529"/>
    <w:rsid w:val="001438E9"/>
    <w:rsid w:val="00143F0A"/>
    <w:rsid w:val="00144780"/>
    <w:rsid w:val="00144A04"/>
    <w:rsid w:val="00144DF4"/>
    <w:rsid w:val="00145564"/>
    <w:rsid w:val="00145A69"/>
    <w:rsid w:val="001470AC"/>
    <w:rsid w:val="001471C6"/>
    <w:rsid w:val="00150134"/>
    <w:rsid w:val="001501DC"/>
    <w:rsid w:val="00150A58"/>
    <w:rsid w:val="00150B8C"/>
    <w:rsid w:val="00150FA7"/>
    <w:rsid w:val="001518E5"/>
    <w:rsid w:val="00151E23"/>
    <w:rsid w:val="0015210A"/>
    <w:rsid w:val="001526E0"/>
    <w:rsid w:val="001527F5"/>
    <w:rsid w:val="0015295F"/>
    <w:rsid w:val="00153019"/>
    <w:rsid w:val="001551B5"/>
    <w:rsid w:val="0015586D"/>
    <w:rsid w:val="0015632F"/>
    <w:rsid w:val="001567AA"/>
    <w:rsid w:val="00156D7A"/>
    <w:rsid w:val="00157094"/>
    <w:rsid w:val="00157E20"/>
    <w:rsid w:val="001606AE"/>
    <w:rsid w:val="001610AC"/>
    <w:rsid w:val="00161640"/>
    <w:rsid w:val="00161E13"/>
    <w:rsid w:val="00162C7A"/>
    <w:rsid w:val="001632E2"/>
    <w:rsid w:val="0016368D"/>
    <w:rsid w:val="00163C12"/>
    <w:rsid w:val="00163E62"/>
    <w:rsid w:val="001645C8"/>
    <w:rsid w:val="0016492E"/>
    <w:rsid w:val="00164DEF"/>
    <w:rsid w:val="00164F4B"/>
    <w:rsid w:val="001659C1"/>
    <w:rsid w:val="00165F32"/>
    <w:rsid w:val="00166AEA"/>
    <w:rsid w:val="00166AF2"/>
    <w:rsid w:val="001673AA"/>
    <w:rsid w:val="001705E9"/>
    <w:rsid w:val="001711F3"/>
    <w:rsid w:val="00171EF9"/>
    <w:rsid w:val="0017208D"/>
    <w:rsid w:val="0017289F"/>
    <w:rsid w:val="0017293D"/>
    <w:rsid w:val="00172C61"/>
    <w:rsid w:val="00173A8E"/>
    <w:rsid w:val="00174538"/>
    <w:rsid w:val="0017483D"/>
    <w:rsid w:val="0017484B"/>
    <w:rsid w:val="0017502C"/>
    <w:rsid w:val="00175360"/>
    <w:rsid w:val="00175B68"/>
    <w:rsid w:val="00175EBF"/>
    <w:rsid w:val="00176680"/>
    <w:rsid w:val="0017698F"/>
    <w:rsid w:val="0018009C"/>
    <w:rsid w:val="00180261"/>
    <w:rsid w:val="001803D7"/>
    <w:rsid w:val="001803EE"/>
    <w:rsid w:val="00180BAE"/>
    <w:rsid w:val="0018143F"/>
    <w:rsid w:val="001815AD"/>
    <w:rsid w:val="00181602"/>
    <w:rsid w:val="00181881"/>
    <w:rsid w:val="00181FF8"/>
    <w:rsid w:val="00182605"/>
    <w:rsid w:val="00182D33"/>
    <w:rsid w:val="00183849"/>
    <w:rsid w:val="0018429C"/>
    <w:rsid w:val="0018500C"/>
    <w:rsid w:val="001860B8"/>
    <w:rsid w:val="0018664A"/>
    <w:rsid w:val="001869F7"/>
    <w:rsid w:val="0018756E"/>
    <w:rsid w:val="0019026F"/>
    <w:rsid w:val="0019051B"/>
    <w:rsid w:val="00190AC1"/>
    <w:rsid w:val="00190D5C"/>
    <w:rsid w:val="001914CB"/>
    <w:rsid w:val="001915FB"/>
    <w:rsid w:val="00191B90"/>
    <w:rsid w:val="00191CBB"/>
    <w:rsid w:val="001926E3"/>
    <w:rsid w:val="001929F7"/>
    <w:rsid w:val="0019341A"/>
    <w:rsid w:val="0019346C"/>
    <w:rsid w:val="00193EDF"/>
    <w:rsid w:val="00194C84"/>
    <w:rsid w:val="00194EA4"/>
    <w:rsid w:val="001962B0"/>
    <w:rsid w:val="00197127"/>
    <w:rsid w:val="00197DF9"/>
    <w:rsid w:val="001A1269"/>
    <w:rsid w:val="001A1987"/>
    <w:rsid w:val="001A2564"/>
    <w:rsid w:val="001A30F2"/>
    <w:rsid w:val="001A3C44"/>
    <w:rsid w:val="001A3D65"/>
    <w:rsid w:val="001A44A6"/>
    <w:rsid w:val="001A460C"/>
    <w:rsid w:val="001A493C"/>
    <w:rsid w:val="001A54F3"/>
    <w:rsid w:val="001A5597"/>
    <w:rsid w:val="001A57F8"/>
    <w:rsid w:val="001A585A"/>
    <w:rsid w:val="001A5CD8"/>
    <w:rsid w:val="001A5E7F"/>
    <w:rsid w:val="001A614E"/>
    <w:rsid w:val="001A6173"/>
    <w:rsid w:val="001A6CBA"/>
    <w:rsid w:val="001A6D6A"/>
    <w:rsid w:val="001A7980"/>
    <w:rsid w:val="001B04F3"/>
    <w:rsid w:val="001B0728"/>
    <w:rsid w:val="001B0849"/>
    <w:rsid w:val="001B0D97"/>
    <w:rsid w:val="001B129B"/>
    <w:rsid w:val="001B19A5"/>
    <w:rsid w:val="001B2241"/>
    <w:rsid w:val="001B2EB0"/>
    <w:rsid w:val="001B39B6"/>
    <w:rsid w:val="001B5A5D"/>
    <w:rsid w:val="001B5D7B"/>
    <w:rsid w:val="001B6D03"/>
    <w:rsid w:val="001B7205"/>
    <w:rsid w:val="001B7745"/>
    <w:rsid w:val="001C027A"/>
    <w:rsid w:val="001C0779"/>
    <w:rsid w:val="001C1BCB"/>
    <w:rsid w:val="001C1CE5"/>
    <w:rsid w:val="001C3D2A"/>
    <w:rsid w:val="001C40C6"/>
    <w:rsid w:val="001C455F"/>
    <w:rsid w:val="001C4E75"/>
    <w:rsid w:val="001C5A49"/>
    <w:rsid w:val="001C5B29"/>
    <w:rsid w:val="001C5D94"/>
    <w:rsid w:val="001C6F53"/>
    <w:rsid w:val="001C7660"/>
    <w:rsid w:val="001C7E98"/>
    <w:rsid w:val="001D0185"/>
    <w:rsid w:val="001D01B6"/>
    <w:rsid w:val="001D03AE"/>
    <w:rsid w:val="001D03EC"/>
    <w:rsid w:val="001D0A39"/>
    <w:rsid w:val="001D0AA5"/>
    <w:rsid w:val="001D1549"/>
    <w:rsid w:val="001D1E31"/>
    <w:rsid w:val="001D26D8"/>
    <w:rsid w:val="001D3195"/>
    <w:rsid w:val="001D31FA"/>
    <w:rsid w:val="001D43A7"/>
    <w:rsid w:val="001D4656"/>
    <w:rsid w:val="001D51BA"/>
    <w:rsid w:val="001D52F5"/>
    <w:rsid w:val="001D53E7"/>
    <w:rsid w:val="001D5416"/>
    <w:rsid w:val="001D61AE"/>
    <w:rsid w:val="001D6342"/>
    <w:rsid w:val="001D6B10"/>
    <w:rsid w:val="001D6D53"/>
    <w:rsid w:val="001D6D9E"/>
    <w:rsid w:val="001D6EF5"/>
    <w:rsid w:val="001D7029"/>
    <w:rsid w:val="001D7314"/>
    <w:rsid w:val="001D7753"/>
    <w:rsid w:val="001D7B5A"/>
    <w:rsid w:val="001D7E5E"/>
    <w:rsid w:val="001E0153"/>
    <w:rsid w:val="001E02A3"/>
    <w:rsid w:val="001E0C76"/>
    <w:rsid w:val="001E1414"/>
    <w:rsid w:val="001E1D2D"/>
    <w:rsid w:val="001E1FE5"/>
    <w:rsid w:val="001E2EDA"/>
    <w:rsid w:val="001E33B1"/>
    <w:rsid w:val="001E3E85"/>
    <w:rsid w:val="001E4916"/>
    <w:rsid w:val="001E4A0E"/>
    <w:rsid w:val="001E539A"/>
    <w:rsid w:val="001E55C1"/>
    <w:rsid w:val="001E575B"/>
    <w:rsid w:val="001E581A"/>
    <w:rsid w:val="001E58E2"/>
    <w:rsid w:val="001E5955"/>
    <w:rsid w:val="001E5A94"/>
    <w:rsid w:val="001E5DF1"/>
    <w:rsid w:val="001E6C25"/>
    <w:rsid w:val="001E7AED"/>
    <w:rsid w:val="001F13D1"/>
    <w:rsid w:val="001F19EE"/>
    <w:rsid w:val="001F1CB5"/>
    <w:rsid w:val="001F3916"/>
    <w:rsid w:val="001F43CD"/>
    <w:rsid w:val="001F491C"/>
    <w:rsid w:val="001F4EDB"/>
    <w:rsid w:val="001F4EEB"/>
    <w:rsid w:val="001F5197"/>
    <w:rsid w:val="001F5432"/>
    <w:rsid w:val="001F54C5"/>
    <w:rsid w:val="001F5F7B"/>
    <w:rsid w:val="001F662C"/>
    <w:rsid w:val="001F7074"/>
    <w:rsid w:val="001F724A"/>
    <w:rsid w:val="001F78AE"/>
    <w:rsid w:val="001F7E35"/>
    <w:rsid w:val="00200490"/>
    <w:rsid w:val="00200A16"/>
    <w:rsid w:val="002012A3"/>
    <w:rsid w:val="00201C90"/>
    <w:rsid w:val="00201D25"/>
    <w:rsid w:val="00201E21"/>
    <w:rsid w:val="00201F3A"/>
    <w:rsid w:val="00202297"/>
    <w:rsid w:val="00203F96"/>
    <w:rsid w:val="00204359"/>
    <w:rsid w:val="00204490"/>
    <w:rsid w:val="00204986"/>
    <w:rsid w:val="00205476"/>
    <w:rsid w:val="00205E4B"/>
    <w:rsid w:val="00205EBC"/>
    <w:rsid w:val="00206257"/>
    <w:rsid w:val="002069B2"/>
    <w:rsid w:val="00206D7D"/>
    <w:rsid w:val="00207378"/>
    <w:rsid w:val="00207828"/>
    <w:rsid w:val="00207FA3"/>
    <w:rsid w:val="00207FC8"/>
    <w:rsid w:val="002104E5"/>
    <w:rsid w:val="002114BA"/>
    <w:rsid w:val="00211D95"/>
    <w:rsid w:val="002121C3"/>
    <w:rsid w:val="002124A6"/>
    <w:rsid w:val="00214015"/>
    <w:rsid w:val="0021410A"/>
    <w:rsid w:val="0021458D"/>
    <w:rsid w:val="00214DA8"/>
    <w:rsid w:val="00215423"/>
    <w:rsid w:val="00215874"/>
    <w:rsid w:val="002158FA"/>
    <w:rsid w:val="00215A4A"/>
    <w:rsid w:val="00215DDB"/>
    <w:rsid w:val="00217369"/>
    <w:rsid w:val="0021785C"/>
    <w:rsid w:val="00217BD9"/>
    <w:rsid w:val="00220600"/>
    <w:rsid w:val="00220EFF"/>
    <w:rsid w:val="0022185B"/>
    <w:rsid w:val="002218B2"/>
    <w:rsid w:val="00221F03"/>
    <w:rsid w:val="00221F0F"/>
    <w:rsid w:val="002224DB"/>
    <w:rsid w:val="00222705"/>
    <w:rsid w:val="002233D4"/>
    <w:rsid w:val="002237A2"/>
    <w:rsid w:val="002237FB"/>
    <w:rsid w:val="0022391A"/>
    <w:rsid w:val="00223E72"/>
    <w:rsid w:val="00223FCB"/>
    <w:rsid w:val="00224157"/>
    <w:rsid w:val="0022418B"/>
    <w:rsid w:val="00224711"/>
    <w:rsid w:val="002252C3"/>
    <w:rsid w:val="002259E4"/>
    <w:rsid w:val="00225C54"/>
    <w:rsid w:val="00226366"/>
    <w:rsid w:val="002265A6"/>
    <w:rsid w:val="002269F7"/>
    <w:rsid w:val="00227403"/>
    <w:rsid w:val="0022744C"/>
    <w:rsid w:val="00227626"/>
    <w:rsid w:val="00227D03"/>
    <w:rsid w:val="00227DCF"/>
    <w:rsid w:val="00230765"/>
    <w:rsid w:val="00230D18"/>
    <w:rsid w:val="002317C2"/>
    <w:rsid w:val="002319E4"/>
    <w:rsid w:val="00231D02"/>
    <w:rsid w:val="00231E71"/>
    <w:rsid w:val="00233483"/>
    <w:rsid w:val="00233FE1"/>
    <w:rsid w:val="002342D5"/>
    <w:rsid w:val="00235632"/>
    <w:rsid w:val="00235872"/>
    <w:rsid w:val="00235C79"/>
    <w:rsid w:val="00236EED"/>
    <w:rsid w:val="00237045"/>
    <w:rsid w:val="0023739B"/>
    <w:rsid w:val="00237F81"/>
    <w:rsid w:val="00237FC2"/>
    <w:rsid w:val="0024068A"/>
    <w:rsid w:val="00240A4B"/>
    <w:rsid w:val="00241343"/>
    <w:rsid w:val="00241559"/>
    <w:rsid w:val="00241EAD"/>
    <w:rsid w:val="002426ED"/>
    <w:rsid w:val="002435B3"/>
    <w:rsid w:val="002437E1"/>
    <w:rsid w:val="00243BBE"/>
    <w:rsid w:val="0024418C"/>
    <w:rsid w:val="002443B9"/>
    <w:rsid w:val="00244615"/>
    <w:rsid w:val="002446BA"/>
    <w:rsid w:val="002448D3"/>
    <w:rsid w:val="002449E2"/>
    <w:rsid w:val="00244F46"/>
    <w:rsid w:val="002458EB"/>
    <w:rsid w:val="00245D30"/>
    <w:rsid w:val="0024610D"/>
    <w:rsid w:val="00246767"/>
    <w:rsid w:val="002470B7"/>
    <w:rsid w:val="002474C6"/>
    <w:rsid w:val="002475ED"/>
    <w:rsid w:val="00247A87"/>
    <w:rsid w:val="002500C8"/>
    <w:rsid w:val="00250756"/>
    <w:rsid w:val="00250998"/>
    <w:rsid w:val="0025100B"/>
    <w:rsid w:val="00251DD6"/>
    <w:rsid w:val="00252272"/>
    <w:rsid w:val="00252D8F"/>
    <w:rsid w:val="0025343E"/>
    <w:rsid w:val="00253778"/>
    <w:rsid w:val="00254049"/>
    <w:rsid w:val="002540B3"/>
    <w:rsid w:val="002548F3"/>
    <w:rsid w:val="0025526B"/>
    <w:rsid w:val="00255373"/>
    <w:rsid w:val="002556E8"/>
    <w:rsid w:val="00255F93"/>
    <w:rsid w:val="00255FB6"/>
    <w:rsid w:val="002562AA"/>
    <w:rsid w:val="002566C0"/>
    <w:rsid w:val="00257543"/>
    <w:rsid w:val="00257790"/>
    <w:rsid w:val="002605F0"/>
    <w:rsid w:val="002612E5"/>
    <w:rsid w:val="00261644"/>
    <w:rsid w:val="002617E7"/>
    <w:rsid w:val="002629A1"/>
    <w:rsid w:val="00262F3B"/>
    <w:rsid w:val="0026322D"/>
    <w:rsid w:val="00264228"/>
    <w:rsid w:val="00264334"/>
    <w:rsid w:val="0026456D"/>
    <w:rsid w:val="00264624"/>
    <w:rsid w:val="0026473E"/>
    <w:rsid w:val="002647AD"/>
    <w:rsid w:val="00264A17"/>
    <w:rsid w:val="00264FCE"/>
    <w:rsid w:val="00266214"/>
    <w:rsid w:val="0026622B"/>
    <w:rsid w:val="0026632E"/>
    <w:rsid w:val="002667B6"/>
    <w:rsid w:val="00267C83"/>
    <w:rsid w:val="0027042F"/>
    <w:rsid w:val="002705D4"/>
    <w:rsid w:val="00270667"/>
    <w:rsid w:val="0027144F"/>
    <w:rsid w:val="00271813"/>
    <w:rsid w:val="002719EF"/>
    <w:rsid w:val="00271D25"/>
    <w:rsid w:val="00271F3A"/>
    <w:rsid w:val="00273278"/>
    <w:rsid w:val="002737F4"/>
    <w:rsid w:val="0027389F"/>
    <w:rsid w:val="00273BCF"/>
    <w:rsid w:val="00273FD4"/>
    <w:rsid w:val="002740CC"/>
    <w:rsid w:val="002740F8"/>
    <w:rsid w:val="00274DD9"/>
    <w:rsid w:val="00274DFD"/>
    <w:rsid w:val="00274F3E"/>
    <w:rsid w:val="0027501A"/>
    <w:rsid w:val="00275AE5"/>
    <w:rsid w:val="0027665D"/>
    <w:rsid w:val="002767AB"/>
    <w:rsid w:val="002767F5"/>
    <w:rsid w:val="00276AD9"/>
    <w:rsid w:val="00276B24"/>
    <w:rsid w:val="00276B54"/>
    <w:rsid w:val="00277237"/>
    <w:rsid w:val="0027743E"/>
    <w:rsid w:val="00277D7A"/>
    <w:rsid w:val="002805F5"/>
    <w:rsid w:val="00280751"/>
    <w:rsid w:val="002807CD"/>
    <w:rsid w:val="00280E65"/>
    <w:rsid w:val="0028176E"/>
    <w:rsid w:val="002820C9"/>
    <w:rsid w:val="00282290"/>
    <w:rsid w:val="0028280A"/>
    <w:rsid w:val="002833A5"/>
    <w:rsid w:val="00283F28"/>
    <w:rsid w:val="00284D26"/>
    <w:rsid w:val="002853F1"/>
    <w:rsid w:val="0028625D"/>
    <w:rsid w:val="00286ACD"/>
    <w:rsid w:val="00287838"/>
    <w:rsid w:val="00287846"/>
    <w:rsid w:val="00287A59"/>
    <w:rsid w:val="00287F99"/>
    <w:rsid w:val="00290082"/>
    <w:rsid w:val="0029049E"/>
    <w:rsid w:val="0029051C"/>
    <w:rsid w:val="002907B5"/>
    <w:rsid w:val="00292E30"/>
    <w:rsid w:val="00292EB7"/>
    <w:rsid w:val="00293A4F"/>
    <w:rsid w:val="00293F64"/>
    <w:rsid w:val="00294A16"/>
    <w:rsid w:val="00294A5E"/>
    <w:rsid w:val="00295F29"/>
    <w:rsid w:val="0029614F"/>
    <w:rsid w:val="00296227"/>
    <w:rsid w:val="002963B1"/>
    <w:rsid w:val="002965A5"/>
    <w:rsid w:val="00296A0B"/>
    <w:rsid w:val="00296F44"/>
    <w:rsid w:val="0029777D"/>
    <w:rsid w:val="0029798D"/>
    <w:rsid w:val="002A0327"/>
    <w:rsid w:val="002A055E"/>
    <w:rsid w:val="002A0BF6"/>
    <w:rsid w:val="002A1C50"/>
    <w:rsid w:val="002A1D4E"/>
    <w:rsid w:val="002A2869"/>
    <w:rsid w:val="002A2B81"/>
    <w:rsid w:val="002A30EC"/>
    <w:rsid w:val="002A3850"/>
    <w:rsid w:val="002A4C2E"/>
    <w:rsid w:val="002A5FEC"/>
    <w:rsid w:val="002A62EC"/>
    <w:rsid w:val="002A6B39"/>
    <w:rsid w:val="002B0B20"/>
    <w:rsid w:val="002B24D6"/>
    <w:rsid w:val="002B26B1"/>
    <w:rsid w:val="002B2D9B"/>
    <w:rsid w:val="002B4A72"/>
    <w:rsid w:val="002B50E9"/>
    <w:rsid w:val="002B64BF"/>
    <w:rsid w:val="002B64E6"/>
    <w:rsid w:val="002B6A97"/>
    <w:rsid w:val="002B72D7"/>
    <w:rsid w:val="002B799E"/>
    <w:rsid w:val="002C06AD"/>
    <w:rsid w:val="002C0A44"/>
    <w:rsid w:val="002C0C04"/>
    <w:rsid w:val="002C0DE9"/>
    <w:rsid w:val="002C1D76"/>
    <w:rsid w:val="002C25AB"/>
    <w:rsid w:val="002C2A74"/>
    <w:rsid w:val="002C3380"/>
    <w:rsid w:val="002C3388"/>
    <w:rsid w:val="002C34E8"/>
    <w:rsid w:val="002C41E6"/>
    <w:rsid w:val="002C5220"/>
    <w:rsid w:val="002C6305"/>
    <w:rsid w:val="002C6641"/>
    <w:rsid w:val="002D071A"/>
    <w:rsid w:val="002D0ACB"/>
    <w:rsid w:val="002D1DF1"/>
    <w:rsid w:val="002D2537"/>
    <w:rsid w:val="002D27F2"/>
    <w:rsid w:val="002D34B2"/>
    <w:rsid w:val="002D38F1"/>
    <w:rsid w:val="002D3B4E"/>
    <w:rsid w:val="002D3BCA"/>
    <w:rsid w:val="002D4472"/>
    <w:rsid w:val="002D475E"/>
    <w:rsid w:val="002D48B0"/>
    <w:rsid w:val="002D4B3C"/>
    <w:rsid w:val="002D4D23"/>
    <w:rsid w:val="002D5B37"/>
    <w:rsid w:val="002D5DBF"/>
    <w:rsid w:val="002D5E0F"/>
    <w:rsid w:val="002D663C"/>
    <w:rsid w:val="002D6696"/>
    <w:rsid w:val="002D7637"/>
    <w:rsid w:val="002D789B"/>
    <w:rsid w:val="002D79F6"/>
    <w:rsid w:val="002E0358"/>
    <w:rsid w:val="002E07EE"/>
    <w:rsid w:val="002E1273"/>
    <w:rsid w:val="002E17F2"/>
    <w:rsid w:val="002E1EC8"/>
    <w:rsid w:val="002E274B"/>
    <w:rsid w:val="002E2943"/>
    <w:rsid w:val="002E2D7D"/>
    <w:rsid w:val="002E2DDC"/>
    <w:rsid w:val="002E2EA4"/>
    <w:rsid w:val="002E34A3"/>
    <w:rsid w:val="002E397F"/>
    <w:rsid w:val="002E412B"/>
    <w:rsid w:val="002E4977"/>
    <w:rsid w:val="002E4D4B"/>
    <w:rsid w:val="002E50DD"/>
    <w:rsid w:val="002E5C42"/>
    <w:rsid w:val="002E6610"/>
    <w:rsid w:val="002E6945"/>
    <w:rsid w:val="002E6C7D"/>
    <w:rsid w:val="002E78FB"/>
    <w:rsid w:val="002E7AE2"/>
    <w:rsid w:val="002E7CAE"/>
    <w:rsid w:val="002F0301"/>
    <w:rsid w:val="002F184F"/>
    <w:rsid w:val="002F189E"/>
    <w:rsid w:val="002F2771"/>
    <w:rsid w:val="002F37A9"/>
    <w:rsid w:val="002F39A2"/>
    <w:rsid w:val="002F43BA"/>
    <w:rsid w:val="002F5006"/>
    <w:rsid w:val="002F6065"/>
    <w:rsid w:val="002F61AB"/>
    <w:rsid w:val="002F67E3"/>
    <w:rsid w:val="002F6904"/>
    <w:rsid w:val="002F6F28"/>
    <w:rsid w:val="003008C9"/>
    <w:rsid w:val="003009ED"/>
    <w:rsid w:val="00300FBE"/>
    <w:rsid w:val="00301CE6"/>
    <w:rsid w:val="00302342"/>
    <w:rsid w:val="0030256B"/>
    <w:rsid w:val="00302BF8"/>
    <w:rsid w:val="00302F26"/>
    <w:rsid w:val="00304F48"/>
    <w:rsid w:val="0030501F"/>
    <w:rsid w:val="00305AD1"/>
    <w:rsid w:val="00305BB0"/>
    <w:rsid w:val="003066A2"/>
    <w:rsid w:val="00306849"/>
    <w:rsid w:val="00306F3E"/>
    <w:rsid w:val="0030759A"/>
    <w:rsid w:val="00307BA1"/>
    <w:rsid w:val="003103D6"/>
    <w:rsid w:val="00311702"/>
    <w:rsid w:val="00311902"/>
    <w:rsid w:val="00311E82"/>
    <w:rsid w:val="0031261D"/>
    <w:rsid w:val="003137F9"/>
    <w:rsid w:val="00313B85"/>
    <w:rsid w:val="00313FD6"/>
    <w:rsid w:val="003143BD"/>
    <w:rsid w:val="00315363"/>
    <w:rsid w:val="00315829"/>
    <w:rsid w:val="00316DE0"/>
    <w:rsid w:val="0031711C"/>
    <w:rsid w:val="003176B5"/>
    <w:rsid w:val="00317A2D"/>
    <w:rsid w:val="00317EA7"/>
    <w:rsid w:val="003203ED"/>
    <w:rsid w:val="0032100E"/>
    <w:rsid w:val="00321D97"/>
    <w:rsid w:val="00321ED3"/>
    <w:rsid w:val="00322A11"/>
    <w:rsid w:val="00322A63"/>
    <w:rsid w:val="00322C9F"/>
    <w:rsid w:val="003237BE"/>
    <w:rsid w:val="00323967"/>
    <w:rsid w:val="00324199"/>
    <w:rsid w:val="00324D23"/>
    <w:rsid w:val="00324F06"/>
    <w:rsid w:val="003255DA"/>
    <w:rsid w:val="00325B9C"/>
    <w:rsid w:val="003263D2"/>
    <w:rsid w:val="0032667D"/>
    <w:rsid w:val="00326E36"/>
    <w:rsid w:val="0032731D"/>
    <w:rsid w:val="003273FF"/>
    <w:rsid w:val="00330539"/>
    <w:rsid w:val="00331751"/>
    <w:rsid w:val="00331A4C"/>
    <w:rsid w:val="00331A71"/>
    <w:rsid w:val="00331F85"/>
    <w:rsid w:val="003324D6"/>
    <w:rsid w:val="003327ED"/>
    <w:rsid w:val="0033426E"/>
    <w:rsid w:val="00334579"/>
    <w:rsid w:val="00334898"/>
    <w:rsid w:val="00334D5A"/>
    <w:rsid w:val="00335541"/>
    <w:rsid w:val="00335614"/>
    <w:rsid w:val="00335858"/>
    <w:rsid w:val="00335877"/>
    <w:rsid w:val="0033588E"/>
    <w:rsid w:val="0033594C"/>
    <w:rsid w:val="003362FA"/>
    <w:rsid w:val="00336BDA"/>
    <w:rsid w:val="00337D29"/>
    <w:rsid w:val="003412BA"/>
    <w:rsid w:val="003416FF"/>
    <w:rsid w:val="003419E1"/>
    <w:rsid w:val="00341E8E"/>
    <w:rsid w:val="003423EA"/>
    <w:rsid w:val="0034294A"/>
    <w:rsid w:val="003429D4"/>
    <w:rsid w:val="00342BD7"/>
    <w:rsid w:val="00342DF9"/>
    <w:rsid w:val="003434F8"/>
    <w:rsid w:val="00344C95"/>
    <w:rsid w:val="003451BC"/>
    <w:rsid w:val="003455AA"/>
    <w:rsid w:val="00346551"/>
    <w:rsid w:val="00346DB5"/>
    <w:rsid w:val="003477B1"/>
    <w:rsid w:val="0034789B"/>
    <w:rsid w:val="00350777"/>
    <w:rsid w:val="00351413"/>
    <w:rsid w:val="003517B3"/>
    <w:rsid w:val="003518BD"/>
    <w:rsid w:val="00351E2A"/>
    <w:rsid w:val="003521A1"/>
    <w:rsid w:val="00352436"/>
    <w:rsid w:val="00352620"/>
    <w:rsid w:val="00352639"/>
    <w:rsid w:val="00353447"/>
    <w:rsid w:val="00353BA6"/>
    <w:rsid w:val="00353F49"/>
    <w:rsid w:val="00355E36"/>
    <w:rsid w:val="00355E7D"/>
    <w:rsid w:val="00356575"/>
    <w:rsid w:val="00357293"/>
    <w:rsid w:val="00357380"/>
    <w:rsid w:val="003602D9"/>
    <w:rsid w:val="003604CE"/>
    <w:rsid w:val="00360543"/>
    <w:rsid w:val="00360DFA"/>
    <w:rsid w:val="00361A3A"/>
    <w:rsid w:val="003622AB"/>
    <w:rsid w:val="00363EAD"/>
    <w:rsid w:val="00364687"/>
    <w:rsid w:val="00365617"/>
    <w:rsid w:val="00366750"/>
    <w:rsid w:val="00366ACD"/>
    <w:rsid w:val="00370360"/>
    <w:rsid w:val="00370CD7"/>
    <w:rsid w:val="00370E1C"/>
    <w:rsid w:val="00370E47"/>
    <w:rsid w:val="003716E8"/>
    <w:rsid w:val="00371AF3"/>
    <w:rsid w:val="00372D50"/>
    <w:rsid w:val="00372D82"/>
    <w:rsid w:val="00372E09"/>
    <w:rsid w:val="00372E99"/>
    <w:rsid w:val="003730A5"/>
    <w:rsid w:val="00373A77"/>
    <w:rsid w:val="003742AC"/>
    <w:rsid w:val="00374323"/>
    <w:rsid w:val="00374379"/>
    <w:rsid w:val="003747C8"/>
    <w:rsid w:val="00375248"/>
    <w:rsid w:val="003759A6"/>
    <w:rsid w:val="003763A4"/>
    <w:rsid w:val="00377563"/>
    <w:rsid w:val="003776B9"/>
    <w:rsid w:val="00377CE1"/>
    <w:rsid w:val="0038189B"/>
    <w:rsid w:val="00381A44"/>
    <w:rsid w:val="00382257"/>
    <w:rsid w:val="00383093"/>
    <w:rsid w:val="00383105"/>
    <w:rsid w:val="00383E08"/>
    <w:rsid w:val="0038502C"/>
    <w:rsid w:val="00385BF0"/>
    <w:rsid w:val="00386140"/>
    <w:rsid w:val="00386181"/>
    <w:rsid w:val="00386A13"/>
    <w:rsid w:val="00387FB8"/>
    <w:rsid w:val="00390E1E"/>
    <w:rsid w:val="00391187"/>
    <w:rsid w:val="00391C3D"/>
    <w:rsid w:val="00391C3F"/>
    <w:rsid w:val="00391D08"/>
    <w:rsid w:val="00392E74"/>
    <w:rsid w:val="0039387A"/>
    <w:rsid w:val="003939FF"/>
    <w:rsid w:val="00393E68"/>
    <w:rsid w:val="00394248"/>
    <w:rsid w:val="00394DF0"/>
    <w:rsid w:val="00395454"/>
    <w:rsid w:val="00395A35"/>
    <w:rsid w:val="003965F0"/>
    <w:rsid w:val="00397924"/>
    <w:rsid w:val="00397C26"/>
    <w:rsid w:val="00397F57"/>
    <w:rsid w:val="003A0541"/>
    <w:rsid w:val="003A0BE1"/>
    <w:rsid w:val="003A16C5"/>
    <w:rsid w:val="003A2223"/>
    <w:rsid w:val="003A22AC"/>
    <w:rsid w:val="003A2A0F"/>
    <w:rsid w:val="003A42FE"/>
    <w:rsid w:val="003A45A1"/>
    <w:rsid w:val="003A5B0A"/>
    <w:rsid w:val="003A5C19"/>
    <w:rsid w:val="003A60E9"/>
    <w:rsid w:val="003A63E1"/>
    <w:rsid w:val="003A6868"/>
    <w:rsid w:val="003A6BAC"/>
    <w:rsid w:val="003A6E52"/>
    <w:rsid w:val="003A70A4"/>
    <w:rsid w:val="003A747B"/>
    <w:rsid w:val="003A7EF3"/>
    <w:rsid w:val="003A7F97"/>
    <w:rsid w:val="003B03C6"/>
    <w:rsid w:val="003B0437"/>
    <w:rsid w:val="003B0ABD"/>
    <w:rsid w:val="003B0BC2"/>
    <w:rsid w:val="003B0F5F"/>
    <w:rsid w:val="003B159C"/>
    <w:rsid w:val="003B2113"/>
    <w:rsid w:val="003B2B3A"/>
    <w:rsid w:val="003B369F"/>
    <w:rsid w:val="003B36A3"/>
    <w:rsid w:val="003B36B7"/>
    <w:rsid w:val="003B3AE4"/>
    <w:rsid w:val="003B418D"/>
    <w:rsid w:val="003B43B5"/>
    <w:rsid w:val="003B4D78"/>
    <w:rsid w:val="003B4E4B"/>
    <w:rsid w:val="003B612B"/>
    <w:rsid w:val="003B62C2"/>
    <w:rsid w:val="003B64BB"/>
    <w:rsid w:val="003B654D"/>
    <w:rsid w:val="003B6CEF"/>
    <w:rsid w:val="003B72A7"/>
    <w:rsid w:val="003B7FE5"/>
    <w:rsid w:val="003C11C8"/>
    <w:rsid w:val="003C1FAA"/>
    <w:rsid w:val="003C21C7"/>
    <w:rsid w:val="003C2647"/>
    <w:rsid w:val="003C2702"/>
    <w:rsid w:val="003C35BA"/>
    <w:rsid w:val="003C432D"/>
    <w:rsid w:val="003C549F"/>
    <w:rsid w:val="003C565C"/>
    <w:rsid w:val="003C643E"/>
    <w:rsid w:val="003C6C1A"/>
    <w:rsid w:val="003C6F35"/>
    <w:rsid w:val="003C704D"/>
    <w:rsid w:val="003C70C9"/>
    <w:rsid w:val="003C7806"/>
    <w:rsid w:val="003D027D"/>
    <w:rsid w:val="003D0567"/>
    <w:rsid w:val="003D0C9F"/>
    <w:rsid w:val="003D1000"/>
    <w:rsid w:val="003D109F"/>
    <w:rsid w:val="003D1450"/>
    <w:rsid w:val="003D18A6"/>
    <w:rsid w:val="003D201D"/>
    <w:rsid w:val="003D2478"/>
    <w:rsid w:val="003D284E"/>
    <w:rsid w:val="003D2A2D"/>
    <w:rsid w:val="003D383E"/>
    <w:rsid w:val="003D3B2C"/>
    <w:rsid w:val="003D3C45"/>
    <w:rsid w:val="003D483A"/>
    <w:rsid w:val="003D48AC"/>
    <w:rsid w:val="003D500F"/>
    <w:rsid w:val="003D52BB"/>
    <w:rsid w:val="003D5B1F"/>
    <w:rsid w:val="003D5CB3"/>
    <w:rsid w:val="003D617F"/>
    <w:rsid w:val="003D6603"/>
    <w:rsid w:val="003D6C05"/>
    <w:rsid w:val="003E15FA"/>
    <w:rsid w:val="003E2A90"/>
    <w:rsid w:val="003E32E3"/>
    <w:rsid w:val="003E55E4"/>
    <w:rsid w:val="003E607A"/>
    <w:rsid w:val="003E60BD"/>
    <w:rsid w:val="003E61B9"/>
    <w:rsid w:val="003E73BC"/>
    <w:rsid w:val="003E74E3"/>
    <w:rsid w:val="003E7925"/>
    <w:rsid w:val="003E7E34"/>
    <w:rsid w:val="003F052D"/>
    <w:rsid w:val="003F05C7"/>
    <w:rsid w:val="003F0CB1"/>
    <w:rsid w:val="003F10AA"/>
    <w:rsid w:val="003F13B4"/>
    <w:rsid w:val="003F18CE"/>
    <w:rsid w:val="003F19F7"/>
    <w:rsid w:val="003F2443"/>
    <w:rsid w:val="003F263B"/>
    <w:rsid w:val="003F2CD4"/>
    <w:rsid w:val="003F2DE6"/>
    <w:rsid w:val="003F33C0"/>
    <w:rsid w:val="003F3687"/>
    <w:rsid w:val="003F3A02"/>
    <w:rsid w:val="003F3DAB"/>
    <w:rsid w:val="003F4155"/>
    <w:rsid w:val="003F4946"/>
    <w:rsid w:val="003F4DD9"/>
    <w:rsid w:val="003F59D3"/>
    <w:rsid w:val="003F6662"/>
    <w:rsid w:val="003F6839"/>
    <w:rsid w:val="003F68C2"/>
    <w:rsid w:val="003F69EB"/>
    <w:rsid w:val="003F6BBE"/>
    <w:rsid w:val="003F7B74"/>
    <w:rsid w:val="003F7DD7"/>
    <w:rsid w:val="004000E8"/>
    <w:rsid w:val="004006DB"/>
    <w:rsid w:val="00400705"/>
    <w:rsid w:val="004010E9"/>
    <w:rsid w:val="0040152E"/>
    <w:rsid w:val="004026D9"/>
    <w:rsid w:val="00402A72"/>
    <w:rsid w:val="00402E2B"/>
    <w:rsid w:val="0040392A"/>
    <w:rsid w:val="00403938"/>
    <w:rsid w:val="00403B06"/>
    <w:rsid w:val="004041D8"/>
    <w:rsid w:val="00405022"/>
    <w:rsid w:val="0040512B"/>
    <w:rsid w:val="004052E5"/>
    <w:rsid w:val="0040541D"/>
    <w:rsid w:val="00405B53"/>
    <w:rsid w:val="00405CA5"/>
    <w:rsid w:val="00406C91"/>
    <w:rsid w:val="00406D3D"/>
    <w:rsid w:val="00407A70"/>
    <w:rsid w:val="00407CD3"/>
    <w:rsid w:val="00410134"/>
    <w:rsid w:val="004102D0"/>
    <w:rsid w:val="004103E6"/>
    <w:rsid w:val="00410504"/>
    <w:rsid w:val="00410B72"/>
    <w:rsid w:val="00410F18"/>
    <w:rsid w:val="00411A57"/>
    <w:rsid w:val="00411C39"/>
    <w:rsid w:val="00411E38"/>
    <w:rsid w:val="00411E65"/>
    <w:rsid w:val="00412301"/>
    <w:rsid w:val="0041263E"/>
    <w:rsid w:val="00412FAD"/>
    <w:rsid w:val="0041398C"/>
    <w:rsid w:val="00413AAC"/>
    <w:rsid w:val="00413E92"/>
    <w:rsid w:val="0041505B"/>
    <w:rsid w:val="0041538A"/>
    <w:rsid w:val="004157BA"/>
    <w:rsid w:val="004172C7"/>
    <w:rsid w:val="00417879"/>
    <w:rsid w:val="00417BCB"/>
    <w:rsid w:val="0042077B"/>
    <w:rsid w:val="00420DD8"/>
    <w:rsid w:val="00421105"/>
    <w:rsid w:val="004229E8"/>
    <w:rsid w:val="00422AA4"/>
    <w:rsid w:val="00422DB6"/>
    <w:rsid w:val="00423192"/>
    <w:rsid w:val="00423581"/>
    <w:rsid w:val="004242F4"/>
    <w:rsid w:val="0042475B"/>
    <w:rsid w:val="00425FBA"/>
    <w:rsid w:val="004261FF"/>
    <w:rsid w:val="004265EE"/>
    <w:rsid w:val="00426746"/>
    <w:rsid w:val="00426A57"/>
    <w:rsid w:val="00427198"/>
    <w:rsid w:val="00427248"/>
    <w:rsid w:val="004302FD"/>
    <w:rsid w:val="004306E4"/>
    <w:rsid w:val="00430869"/>
    <w:rsid w:val="00431239"/>
    <w:rsid w:val="004321E1"/>
    <w:rsid w:val="004323FC"/>
    <w:rsid w:val="00432DDF"/>
    <w:rsid w:val="004335FF"/>
    <w:rsid w:val="00433ACC"/>
    <w:rsid w:val="0043491F"/>
    <w:rsid w:val="00434928"/>
    <w:rsid w:val="00434A81"/>
    <w:rsid w:val="00435927"/>
    <w:rsid w:val="00435AC4"/>
    <w:rsid w:val="00435C34"/>
    <w:rsid w:val="00436258"/>
    <w:rsid w:val="00437447"/>
    <w:rsid w:val="00437C84"/>
    <w:rsid w:val="00441A92"/>
    <w:rsid w:val="004431DC"/>
    <w:rsid w:val="00443234"/>
    <w:rsid w:val="0044325A"/>
    <w:rsid w:val="004434AB"/>
    <w:rsid w:val="0044399A"/>
    <w:rsid w:val="00444F56"/>
    <w:rsid w:val="00444FCD"/>
    <w:rsid w:val="004450D7"/>
    <w:rsid w:val="00445E95"/>
    <w:rsid w:val="004462DC"/>
    <w:rsid w:val="00446488"/>
    <w:rsid w:val="004464A5"/>
    <w:rsid w:val="0044660D"/>
    <w:rsid w:val="00450BD8"/>
    <w:rsid w:val="00450FC3"/>
    <w:rsid w:val="00451586"/>
    <w:rsid w:val="004517AA"/>
    <w:rsid w:val="00452495"/>
    <w:rsid w:val="00452CAC"/>
    <w:rsid w:val="00452E3D"/>
    <w:rsid w:val="004543BD"/>
    <w:rsid w:val="00454C57"/>
    <w:rsid w:val="004559A1"/>
    <w:rsid w:val="00455D57"/>
    <w:rsid w:val="00455DBC"/>
    <w:rsid w:val="00456786"/>
    <w:rsid w:val="00456D41"/>
    <w:rsid w:val="004574C4"/>
    <w:rsid w:val="00457565"/>
    <w:rsid w:val="00457B71"/>
    <w:rsid w:val="00457D20"/>
    <w:rsid w:val="004600E4"/>
    <w:rsid w:val="00460EA0"/>
    <w:rsid w:val="00461142"/>
    <w:rsid w:val="00461514"/>
    <w:rsid w:val="00461D94"/>
    <w:rsid w:val="00462E6D"/>
    <w:rsid w:val="00463957"/>
    <w:rsid w:val="00463FB0"/>
    <w:rsid w:val="004645F1"/>
    <w:rsid w:val="00465BD3"/>
    <w:rsid w:val="00466112"/>
    <w:rsid w:val="004662E0"/>
    <w:rsid w:val="00466577"/>
    <w:rsid w:val="004669E2"/>
    <w:rsid w:val="00466AB3"/>
    <w:rsid w:val="00466E62"/>
    <w:rsid w:val="004678AE"/>
    <w:rsid w:val="00467926"/>
    <w:rsid w:val="00470036"/>
    <w:rsid w:val="004704C2"/>
    <w:rsid w:val="00470871"/>
    <w:rsid w:val="00470C31"/>
    <w:rsid w:val="00471DE0"/>
    <w:rsid w:val="00472777"/>
    <w:rsid w:val="0047288F"/>
    <w:rsid w:val="00472B24"/>
    <w:rsid w:val="00472E4A"/>
    <w:rsid w:val="004731B3"/>
    <w:rsid w:val="004734D0"/>
    <w:rsid w:val="0047556B"/>
    <w:rsid w:val="004759BE"/>
    <w:rsid w:val="00475AB1"/>
    <w:rsid w:val="004762D0"/>
    <w:rsid w:val="00477016"/>
    <w:rsid w:val="00477534"/>
    <w:rsid w:val="00477768"/>
    <w:rsid w:val="00477E55"/>
    <w:rsid w:val="00483FDA"/>
    <w:rsid w:val="00484652"/>
    <w:rsid w:val="00484B0F"/>
    <w:rsid w:val="00484C4E"/>
    <w:rsid w:val="00484CBE"/>
    <w:rsid w:val="00484CFD"/>
    <w:rsid w:val="00484FF9"/>
    <w:rsid w:val="004850DB"/>
    <w:rsid w:val="0048582B"/>
    <w:rsid w:val="0048704F"/>
    <w:rsid w:val="0048735A"/>
    <w:rsid w:val="0048758E"/>
    <w:rsid w:val="00490009"/>
    <w:rsid w:val="004900DB"/>
    <w:rsid w:val="00490F7D"/>
    <w:rsid w:val="0049225E"/>
    <w:rsid w:val="00492BC5"/>
    <w:rsid w:val="0049397C"/>
    <w:rsid w:val="00495685"/>
    <w:rsid w:val="004963AE"/>
    <w:rsid w:val="004964F1"/>
    <w:rsid w:val="00497681"/>
    <w:rsid w:val="00497E12"/>
    <w:rsid w:val="004A0190"/>
    <w:rsid w:val="004A0B6B"/>
    <w:rsid w:val="004A0F92"/>
    <w:rsid w:val="004A16BC"/>
    <w:rsid w:val="004A1FEF"/>
    <w:rsid w:val="004A2476"/>
    <w:rsid w:val="004A2B94"/>
    <w:rsid w:val="004A3164"/>
    <w:rsid w:val="004A3210"/>
    <w:rsid w:val="004A3B26"/>
    <w:rsid w:val="004A4332"/>
    <w:rsid w:val="004A4651"/>
    <w:rsid w:val="004A5638"/>
    <w:rsid w:val="004A5ABC"/>
    <w:rsid w:val="004A5CFA"/>
    <w:rsid w:val="004A601D"/>
    <w:rsid w:val="004A6B3E"/>
    <w:rsid w:val="004A6BC3"/>
    <w:rsid w:val="004B0528"/>
    <w:rsid w:val="004B1B24"/>
    <w:rsid w:val="004B3205"/>
    <w:rsid w:val="004B3554"/>
    <w:rsid w:val="004B40D7"/>
    <w:rsid w:val="004B450D"/>
    <w:rsid w:val="004B4904"/>
    <w:rsid w:val="004B49A7"/>
    <w:rsid w:val="004B4D5C"/>
    <w:rsid w:val="004B5041"/>
    <w:rsid w:val="004B610F"/>
    <w:rsid w:val="004B6A74"/>
    <w:rsid w:val="004B6DFD"/>
    <w:rsid w:val="004B6F6A"/>
    <w:rsid w:val="004B7C0C"/>
    <w:rsid w:val="004C00D5"/>
    <w:rsid w:val="004C186A"/>
    <w:rsid w:val="004C1C3B"/>
    <w:rsid w:val="004C224A"/>
    <w:rsid w:val="004C2755"/>
    <w:rsid w:val="004C2E89"/>
    <w:rsid w:val="004C35E3"/>
    <w:rsid w:val="004C3806"/>
    <w:rsid w:val="004C3898"/>
    <w:rsid w:val="004C3C02"/>
    <w:rsid w:val="004C3C5C"/>
    <w:rsid w:val="004C3C6F"/>
    <w:rsid w:val="004C6887"/>
    <w:rsid w:val="004C6B23"/>
    <w:rsid w:val="004C71D5"/>
    <w:rsid w:val="004C7252"/>
    <w:rsid w:val="004C7F69"/>
    <w:rsid w:val="004D020D"/>
    <w:rsid w:val="004D0A70"/>
    <w:rsid w:val="004D1CE0"/>
    <w:rsid w:val="004D20E7"/>
    <w:rsid w:val="004D2965"/>
    <w:rsid w:val="004D36B1"/>
    <w:rsid w:val="004D3BAD"/>
    <w:rsid w:val="004D41C1"/>
    <w:rsid w:val="004D6773"/>
    <w:rsid w:val="004D7762"/>
    <w:rsid w:val="004D7A3C"/>
    <w:rsid w:val="004D7BE0"/>
    <w:rsid w:val="004D7EBD"/>
    <w:rsid w:val="004E00BA"/>
    <w:rsid w:val="004E184F"/>
    <w:rsid w:val="004E2590"/>
    <w:rsid w:val="004E2680"/>
    <w:rsid w:val="004E28F9"/>
    <w:rsid w:val="004E2FFB"/>
    <w:rsid w:val="004E3648"/>
    <w:rsid w:val="004E4487"/>
    <w:rsid w:val="004E462E"/>
    <w:rsid w:val="004E5108"/>
    <w:rsid w:val="004E5593"/>
    <w:rsid w:val="004E56DC"/>
    <w:rsid w:val="004E5FED"/>
    <w:rsid w:val="004E60CC"/>
    <w:rsid w:val="004E6181"/>
    <w:rsid w:val="004E6556"/>
    <w:rsid w:val="004E656E"/>
    <w:rsid w:val="004E76F4"/>
    <w:rsid w:val="004E799D"/>
    <w:rsid w:val="004E7A83"/>
    <w:rsid w:val="004F0210"/>
    <w:rsid w:val="004F0269"/>
    <w:rsid w:val="004F02DD"/>
    <w:rsid w:val="004F087A"/>
    <w:rsid w:val="004F0B4E"/>
    <w:rsid w:val="004F0B6C"/>
    <w:rsid w:val="004F1037"/>
    <w:rsid w:val="004F149C"/>
    <w:rsid w:val="004F18A9"/>
    <w:rsid w:val="004F1E1D"/>
    <w:rsid w:val="004F2078"/>
    <w:rsid w:val="004F25BF"/>
    <w:rsid w:val="004F2CC8"/>
    <w:rsid w:val="004F3AA4"/>
    <w:rsid w:val="004F49AF"/>
    <w:rsid w:val="004F4DA3"/>
    <w:rsid w:val="004F4DF3"/>
    <w:rsid w:val="004F66CE"/>
    <w:rsid w:val="004F6827"/>
    <w:rsid w:val="004F7343"/>
    <w:rsid w:val="004F7543"/>
    <w:rsid w:val="005002AA"/>
    <w:rsid w:val="005003C6"/>
    <w:rsid w:val="00501993"/>
    <w:rsid w:val="00502710"/>
    <w:rsid w:val="00502B4C"/>
    <w:rsid w:val="00502FD4"/>
    <w:rsid w:val="005037BE"/>
    <w:rsid w:val="005041C9"/>
    <w:rsid w:val="00504F4F"/>
    <w:rsid w:val="005058F8"/>
    <w:rsid w:val="00506184"/>
    <w:rsid w:val="005062A6"/>
    <w:rsid w:val="00506557"/>
    <w:rsid w:val="0050677A"/>
    <w:rsid w:val="0050700A"/>
    <w:rsid w:val="00507851"/>
    <w:rsid w:val="00507B2E"/>
    <w:rsid w:val="005108D8"/>
    <w:rsid w:val="00510B9C"/>
    <w:rsid w:val="00511360"/>
    <w:rsid w:val="005116F9"/>
    <w:rsid w:val="00512AD5"/>
    <w:rsid w:val="00512F31"/>
    <w:rsid w:val="0051327D"/>
    <w:rsid w:val="005138D1"/>
    <w:rsid w:val="005147AA"/>
    <w:rsid w:val="005153A7"/>
    <w:rsid w:val="00515613"/>
    <w:rsid w:val="00517038"/>
    <w:rsid w:val="005173E6"/>
    <w:rsid w:val="00517536"/>
    <w:rsid w:val="00517D02"/>
    <w:rsid w:val="00520A7E"/>
    <w:rsid w:val="00521699"/>
    <w:rsid w:val="005219CF"/>
    <w:rsid w:val="00521E2B"/>
    <w:rsid w:val="00522099"/>
    <w:rsid w:val="0052319B"/>
    <w:rsid w:val="0052371A"/>
    <w:rsid w:val="00524471"/>
    <w:rsid w:val="00524849"/>
    <w:rsid w:val="00524939"/>
    <w:rsid w:val="00524AAF"/>
    <w:rsid w:val="00524D43"/>
    <w:rsid w:val="00525044"/>
    <w:rsid w:val="00526671"/>
    <w:rsid w:val="00526A25"/>
    <w:rsid w:val="00526B47"/>
    <w:rsid w:val="00526E59"/>
    <w:rsid w:val="0052724D"/>
    <w:rsid w:val="0052760F"/>
    <w:rsid w:val="005279DF"/>
    <w:rsid w:val="00527F7B"/>
    <w:rsid w:val="005301E4"/>
    <w:rsid w:val="00530441"/>
    <w:rsid w:val="005312CE"/>
    <w:rsid w:val="005313D7"/>
    <w:rsid w:val="00531FFD"/>
    <w:rsid w:val="005324B7"/>
    <w:rsid w:val="00532FDF"/>
    <w:rsid w:val="005335BE"/>
    <w:rsid w:val="00533A22"/>
    <w:rsid w:val="005344EF"/>
    <w:rsid w:val="00534B59"/>
    <w:rsid w:val="00535461"/>
    <w:rsid w:val="00535CCD"/>
    <w:rsid w:val="00535D1B"/>
    <w:rsid w:val="00536498"/>
    <w:rsid w:val="00536759"/>
    <w:rsid w:val="00536D88"/>
    <w:rsid w:val="00537631"/>
    <w:rsid w:val="005379F2"/>
    <w:rsid w:val="00537BFF"/>
    <w:rsid w:val="00537C62"/>
    <w:rsid w:val="00537D72"/>
    <w:rsid w:val="00540D6C"/>
    <w:rsid w:val="00541414"/>
    <w:rsid w:val="005418DB"/>
    <w:rsid w:val="00541A2A"/>
    <w:rsid w:val="00541DD2"/>
    <w:rsid w:val="00541F81"/>
    <w:rsid w:val="0054219C"/>
    <w:rsid w:val="005427B9"/>
    <w:rsid w:val="005429E6"/>
    <w:rsid w:val="00543196"/>
    <w:rsid w:val="005432F3"/>
    <w:rsid w:val="005442D0"/>
    <w:rsid w:val="00545202"/>
    <w:rsid w:val="0054525A"/>
    <w:rsid w:val="005455A1"/>
    <w:rsid w:val="005457F8"/>
    <w:rsid w:val="00545999"/>
    <w:rsid w:val="00545E92"/>
    <w:rsid w:val="005464A4"/>
    <w:rsid w:val="00546970"/>
    <w:rsid w:val="005469E4"/>
    <w:rsid w:val="005476F8"/>
    <w:rsid w:val="005503A6"/>
    <w:rsid w:val="005503B9"/>
    <w:rsid w:val="00551603"/>
    <w:rsid w:val="005523B8"/>
    <w:rsid w:val="00552C75"/>
    <w:rsid w:val="00554219"/>
    <w:rsid w:val="00554448"/>
    <w:rsid w:val="005544F7"/>
    <w:rsid w:val="00554E19"/>
    <w:rsid w:val="00554EEE"/>
    <w:rsid w:val="005553AD"/>
    <w:rsid w:val="0055657D"/>
    <w:rsid w:val="00556E8A"/>
    <w:rsid w:val="0056121F"/>
    <w:rsid w:val="00561B23"/>
    <w:rsid w:val="00561F8B"/>
    <w:rsid w:val="00562155"/>
    <w:rsid w:val="00564356"/>
    <w:rsid w:val="005644C1"/>
    <w:rsid w:val="00564BBD"/>
    <w:rsid w:val="00564DE5"/>
    <w:rsid w:val="00564EC5"/>
    <w:rsid w:val="00566195"/>
    <w:rsid w:val="00566400"/>
    <w:rsid w:val="00567C01"/>
    <w:rsid w:val="005709D0"/>
    <w:rsid w:val="00571CA4"/>
    <w:rsid w:val="00571DBB"/>
    <w:rsid w:val="0057201A"/>
    <w:rsid w:val="00572457"/>
    <w:rsid w:val="00572505"/>
    <w:rsid w:val="005730C3"/>
    <w:rsid w:val="00573C68"/>
    <w:rsid w:val="00573E85"/>
    <w:rsid w:val="00574791"/>
    <w:rsid w:val="0057578F"/>
    <w:rsid w:val="00575DA9"/>
    <w:rsid w:val="005762D7"/>
    <w:rsid w:val="00576589"/>
    <w:rsid w:val="00577D7A"/>
    <w:rsid w:val="00577FB3"/>
    <w:rsid w:val="00580D48"/>
    <w:rsid w:val="005821D7"/>
    <w:rsid w:val="00582809"/>
    <w:rsid w:val="00582939"/>
    <w:rsid w:val="00582C6D"/>
    <w:rsid w:val="00583A10"/>
    <w:rsid w:val="005842B5"/>
    <w:rsid w:val="00584AA3"/>
    <w:rsid w:val="00585B60"/>
    <w:rsid w:val="00586051"/>
    <w:rsid w:val="005862F9"/>
    <w:rsid w:val="00586E16"/>
    <w:rsid w:val="005876A5"/>
    <w:rsid w:val="00587874"/>
    <w:rsid w:val="0058798C"/>
    <w:rsid w:val="00587BD2"/>
    <w:rsid w:val="00587CF3"/>
    <w:rsid w:val="005900FA"/>
    <w:rsid w:val="005904F2"/>
    <w:rsid w:val="00591169"/>
    <w:rsid w:val="005919A6"/>
    <w:rsid w:val="005923F7"/>
    <w:rsid w:val="00592BBD"/>
    <w:rsid w:val="005935A4"/>
    <w:rsid w:val="005948C2"/>
    <w:rsid w:val="00594B10"/>
    <w:rsid w:val="00594B5F"/>
    <w:rsid w:val="00595DCA"/>
    <w:rsid w:val="00596010"/>
    <w:rsid w:val="0059705B"/>
    <w:rsid w:val="0059779B"/>
    <w:rsid w:val="005A02C4"/>
    <w:rsid w:val="005A0FF9"/>
    <w:rsid w:val="005A209A"/>
    <w:rsid w:val="005A2378"/>
    <w:rsid w:val="005A2C84"/>
    <w:rsid w:val="005A30D8"/>
    <w:rsid w:val="005A32F7"/>
    <w:rsid w:val="005A40D9"/>
    <w:rsid w:val="005A4460"/>
    <w:rsid w:val="005A4C5A"/>
    <w:rsid w:val="005A53A6"/>
    <w:rsid w:val="005A5E82"/>
    <w:rsid w:val="005A5EDA"/>
    <w:rsid w:val="005A662D"/>
    <w:rsid w:val="005A6AAA"/>
    <w:rsid w:val="005A6CFA"/>
    <w:rsid w:val="005A7BF9"/>
    <w:rsid w:val="005B0F60"/>
    <w:rsid w:val="005B1409"/>
    <w:rsid w:val="005B1F66"/>
    <w:rsid w:val="005B287A"/>
    <w:rsid w:val="005B2896"/>
    <w:rsid w:val="005B2B24"/>
    <w:rsid w:val="005B31B4"/>
    <w:rsid w:val="005B35D7"/>
    <w:rsid w:val="005B392A"/>
    <w:rsid w:val="005B3AA3"/>
    <w:rsid w:val="005B3E67"/>
    <w:rsid w:val="005B51D0"/>
    <w:rsid w:val="005B5DE4"/>
    <w:rsid w:val="005B5E3E"/>
    <w:rsid w:val="005B60D7"/>
    <w:rsid w:val="005B666D"/>
    <w:rsid w:val="005B6B1E"/>
    <w:rsid w:val="005B6F83"/>
    <w:rsid w:val="005B7651"/>
    <w:rsid w:val="005B7823"/>
    <w:rsid w:val="005B7AF0"/>
    <w:rsid w:val="005B7E8D"/>
    <w:rsid w:val="005C1161"/>
    <w:rsid w:val="005C1FB0"/>
    <w:rsid w:val="005C2218"/>
    <w:rsid w:val="005C3BA2"/>
    <w:rsid w:val="005C3D76"/>
    <w:rsid w:val="005C4446"/>
    <w:rsid w:val="005C46F9"/>
    <w:rsid w:val="005C4757"/>
    <w:rsid w:val="005C6E2F"/>
    <w:rsid w:val="005C74FB"/>
    <w:rsid w:val="005C7515"/>
    <w:rsid w:val="005C79A8"/>
    <w:rsid w:val="005D0699"/>
    <w:rsid w:val="005D1602"/>
    <w:rsid w:val="005D1C40"/>
    <w:rsid w:val="005D239E"/>
    <w:rsid w:val="005D336D"/>
    <w:rsid w:val="005D429C"/>
    <w:rsid w:val="005D4347"/>
    <w:rsid w:val="005D4DB6"/>
    <w:rsid w:val="005D675B"/>
    <w:rsid w:val="005D72FE"/>
    <w:rsid w:val="005D769D"/>
    <w:rsid w:val="005E11EA"/>
    <w:rsid w:val="005E1ED5"/>
    <w:rsid w:val="005E240D"/>
    <w:rsid w:val="005E257A"/>
    <w:rsid w:val="005E385F"/>
    <w:rsid w:val="005E3C48"/>
    <w:rsid w:val="005E5467"/>
    <w:rsid w:val="005E55B2"/>
    <w:rsid w:val="005E57CB"/>
    <w:rsid w:val="005E5B81"/>
    <w:rsid w:val="005E62BA"/>
    <w:rsid w:val="005E653B"/>
    <w:rsid w:val="005E682E"/>
    <w:rsid w:val="005E6BBA"/>
    <w:rsid w:val="005E7051"/>
    <w:rsid w:val="005E7468"/>
    <w:rsid w:val="005E78AD"/>
    <w:rsid w:val="005F11FE"/>
    <w:rsid w:val="005F207A"/>
    <w:rsid w:val="005F2B29"/>
    <w:rsid w:val="005F2CB1"/>
    <w:rsid w:val="005F2DDC"/>
    <w:rsid w:val="005F2F4A"/>
    <w:rsid w:val="005F3025"/>
    <w:rsid w:val="005F3C77"/>
    <w:rsid w:val="005F4CF3"/>
    <w:rsid w:val="005F518E"/>
    <w:rsid w:val="005F618C"/>
    <w:rsid w:val="005F632C"/>
    <w:rsid w:val="005F6C3C"/>
    <w:rsid w:val="005F70BD"/>
    <w:rsid w:val="005F717F"/>
    <w:rsid w:val="005F7FDA"/>
    <w:rsid w:val="0060128D"/>
    <w:rsid w:val="00601520"/>
    <w:rsid w:val="006022AE"/>
    <w:rsid w:val="006022EC"/>
    <w:rsid w:val="0060283C"/>
    <w:rsid w:val="0060313F"/>
    <w:rsid w:val="00603C25"/>
    <w:rsid w:val="00604F14"/>
    <w:rsid w:val="0060502B"/>
    <w:rsid w:val="00606422"/>
    <w:rsid w:val="006067BD"/>
    <w:rsid w:val="00606E78"/>
    <w:rsid w:val="00607E14"/>
    <w:rsid w:val="00610CE3"/>
    <w:rsid w:val="006113DC"/>
    <w:rsid w:val="00611B83"/>
    <w:rsid w:val="00613257"/>
    <w:rsid w:val="0061404D"/>
    <w:rsid w:val="0061438F"/>
    <w:rsid w:val="006148BB"/>
    <w:rsid w:val="00614E32"/>
    <w:rsid w:val="00615001"/>
    <w:rsid w:val="00616BBC"/>
    <w:rsid w:val="00617980"/>
    <w:rsid w:val="00617F1D"/>
    <w:rsid w:val="006207CF"/>
    <w:rsid w:val="006209E0"/>
    <w:rsid w:val="00620A71"/>
    <w:rsid w:val="00620BA7"/>
    <w:rsid w:val="00620D80"/>
    <w:rsid w:val="006210F7"/>
    <w:rsid w:val="00621444"/>
    <w:rsid w:val="0062167D"/>
    <w:rsid w:val="00622775"/>
    <w:rsid w:val="00622C27"/>
    <w:rsid w:val="00622EF4"/>
    <w:rsid w:val="00622F12"/>
    <w:rsid w:val="006234A6"/>
    <w:rsid w:val="006235DF"/>
    <w:rsid w:val="00623C77"/>
    <w:rsid w:val="00623D1B"/>
    <w:rsid w:val="006242F0"/>
    <w:rsid w:val="00624A18"/>
    <w:rsid w:val="00624A69"/>
    <w:rsid w:val="006264EF"/>
    <w:rsid w:val="00630001"/>
    <w:rsid w:val="00630CDF"/>
    <w:rsid w:val="006311B3"/>
    <w:rsid w:val="00631372"/>
    <w:rsid w:val="00631390"/>
    <w:rsid w:val="0063141A"/>
    <w:rsid w:val="00631892"/>
    <w:rsid w:val="006318CD"/>
    <w:rsid w:val="00631918"/>
    <w:rsid w:val="00631DB1"/>
    <w:rsid w:val="0063284C"/>
    <w:rsid w:val="00632DD6"/>
    <w:rsid w:val="00632E5A"/>
    <w:rsid w:val="006346CA"/>
    <w:rsid w:val="00634D63"/>
    <w:rsid w:val="00634D7E"/>
    <w:rsid w:val="00635F58"/>
    <w:rsid w:val="00636183"/>
    <w:rsid w:val="00636398"/>
    <w:rsid w:val="006368D3"/>
    <w:rsid w:val="00636BE0"/>
    <w:rsid w:val="006377EC"/>
    <w:rsid w:val="00637C8D"/>
    <w:rsid w:val="006414C8"/>
    <w:rsid w:val="0064151F"/>
    <w:rsid w:val="00641533"/>
    <w:rsid w:val="006416AB"/>
    <w:rsid w:val="006417CB"/>
    <w:rsid w:val="0064208D"/>
    <w:rsid w:val="00642AE8"/>
    <w:rsid w:val="00642C5A"/>
    <w:rsid w:val="00642C71"/>
    <w:rsid w:val="00643475"/>
    <w:rsid w:val="006434A5"/>
    <w:rsid w:val="006435B6"/>
    <w:rsid w:val="0064396A"/>
    <w:rsid w:val="00643E0B"/>
    <w:rsid w:val="006442B4"/>
    <w:rsid w:val="00644DD2"/>
    <w:rsid w:val="006459CC"/>
    <w:rsid w:val="00645E71"/>
    <w:rsid w:val="0064624E"/>
    <w:rsid w:val="00646290"/>
    <w:rsid w:val="006476C7"/>
    <w:rsid w:val="00647E98"/>
    <w:rsid w:val="00650AB9"/>
    <w:rsid w:val="006516A8"/>
    <w:rsid w:val="00653B27"/>
    <w:rsid w:val="0065453B"/>
    <w:rsid w:val="00655733"/>
    <w:rsid w:val="00655825"/>
    <w:rsid w:val="00655868"/>
    <w:rsid w:val="00655ACD"/>
    <w:rsid w:val="00655F99"/>
    <w:rsid w:val="00656779"/>
    <w:rsid w:val="00656A92"/>
    <w:rsid w:val="00656DDE"/>
    <w:rsid w:val="0065775C"/>
    <w:rsid w:val="00657AD3"/>
    <w:rsid w:val="0066011D"/>
    <w:rsid w:val="006607C0"/>
    <w:rsid w:val="00660924"/>
    <w:rsid w:val="00660FE7"/>
    <w:rsid w:val="006613A6"/>
    <w:rsid w:val="00661F2D"/>
    <w:rsid w:val="006622AD"/>
    <w:rsid w:val="006622FB"/>
    <w:rsid w:val="006627A2"/>
    <w:rsid w:val="006627D5"/>
    <w:rsid w:val="006627FB"/>
    <w:rsid w:val="006634E6"/>
    <w:rsid w:val="00664BDA"/>
    <w:rsid w:val="0066544C"/>
    <w:rsid w:val="006655EE"/>
    <w:rsid w:val="006656B8"/>
    <w:rsid w:val="00665C42"/>
    <w:rsid w:val="00665DA6"/>
    <w:rsid w:val="00665DF4"/>
    <w:rsid w:val="00666DEB"/>
    <w:rsid w:val="00667654"/>
    <w:rsid w:val="00667EE7"/>
    <w:rsid w:val="00670922"/>
    <w:rsid w:val="00670BE1"/>
    <w:rsid w:val="00671850"/>
    <w:rsid w:val="00671C32"/>
    <w:rsid w:val="00672094"/>
    <w:rsid w:val="0067209F"/>
    <w:rsid w:val="0067218F"/>
    <w:rsid w:val="00673011"/>
    <w:rsid w:val="006738B9"/>
    <w:rsid w:val="00673935"/>
    <w:rsid w:val="00673C35"/>
    <w:rsid w:val="006741F2"/>
    <w:rsid w:val="006748AF"/>
    <w:rsid w:val="00674CC3"/>
    <w:rsid w:val="006755E5"/>
    <w:rsid w:val="006757B4"/>
    <w:rsid w:val="0067598B"/>
    <w:rsid w:val="00675C72"/>
    <w:rsid w:val="006771F9"/>
    <w:rsid w:val="0067722E"/>
    <w:rsid w:val="00677391"/>
    <w:rsid w:val="00677601"/>
    <w:rsid w:val="006776D7"/>
    <w:rsid w:val="006777E7"/>
    <w:rsid w:val="006777FA"/>
    <w:rsid w:val="006801DB"/>
    <w:rsid w:val="0068024E"/>
    <w:rsid w:val="006809F1"/>
    <w:rsid w:val="00681003"/>
    <w:rsid w:val="006817C9"/>
    <w:rsid w:val="0068320A"/>
    <w:rsid w:val="00683393"/>
    <w:rsid w:val="0068368C"/>
    <w:rsid w:val="00683A64"/>
    <w:rsid w:val="00683ECE"/>
    <w:rsid w:val="00684B4D"/>
    <w:rsid w:val="00684D72"/>
    <w:rsid w:val="006852E4"/>
    <w:rsid w:val="00685F0C"/>
    <w:rsid w:val="006866A3"/>
    <w:rsid w:val="006868B0"/>
    <w:rsid w:val="0068719C"/>
    <w:rsid w:val="006874FA"/>
    <w:rsid w:val="00687835"/>
    <w:rsid w:val="00691126"/>
    <w:rsid w:val="006911CB"/>
    <w:rsid w:val="00691726"/>
    <w:rsid w:val="006920F8"/>
    <w:rsid w:val="00692C6C"/>
    <w:rsid w:val="00692CCA"/>
    <w:rsid w:val="00693540"/>
    <w:rsid w:val="00693DF9"/>
    <w:rsid w:val="00694F16"/>
    <w:rsid w:val="00695622"/>
    <w:rsid w:val="00695FC2"/>
    <w:rsid w:val="00696229"/>
    <w:rsid w:val="00696470"/>
    <w:rsid w:val="00696949"/>
    <w:rsid w:val="00697052"/>
    <w:rsid w:val="00697E21"/>
    <w:rsid w:val="006A1589"/>
    <w:rsid w:val="006A26D9"/>
    <w:rsid w:val="006A2A05"/>
    <w:rsid w:val="006A30BE"/>
    <w:rsid w:val="006A3479"/>
    <w:rsid w:val="006A4528"/>
    <w:rsid w:val="006A46FB"/>
    <w:rsid w:val="006A48C8"/>
    <w:rsid w:val="006A54A0"/>
    <w:rsid w:val="006A5537"/>
    <w:rsid w:val="006A5E28"/>
    <w:rsid w:val="006A5E63"/>
    <w:rsid w:val="006A618E"/>
    <w:rsid w:val="006A697B"/>
    <w:rsid w:val="006A6BD7"/>
    <w:rsid w:val="006A6C91"/>
    <w:rsid w:val="006A7AFF"/>
    <w:rsid w:val="006A7BB0"/>
    <w:rsid w:val="006A7E68"/>
    <w:rsid w:val="006A7F2F"/>
    <w:rsid w:val="006B1816"/>
    <w:rsid w:val="006B19C2"/>
    <w:rsid w:val="006B2099"/>
    <w:rsid w:val="006B2ECA"/>
    <w:rsid w:val="006B3C8D"/>
    <w:rsid w:val="006B3D11"/>
    <w:rsid w:val="006B50CF"/>
    <w:rsid w:val="006B5E50"/>
    <w:rsid w:val="006B6153"/>
    <w:rsid w:val="006B67D4"/>
    <w:rsid w:val="006B7832"/>
    <w:rsid w:val="006B7B61"/>
    <w:rsid w:val="006C03B8"/>
    <w:rsid w:val="006C085E"/>
    <w:rsid w:val="006C0AC7"/>
    <w:rsid w:val="006C14B4"/>
    <w:rsid w:val="006C1F9E"/>
    <w:rsid w:val="006C26F8"/>
    <w:rsid w:val="006C27B3"/>
    <w:rsid w:val="006C3089"/>
    <w:rsid w:val="006C30FD"/>
    <w:rsid w:val="006C3311"/>
    <w:rsid w:val="006C3394"/>
    <w:rsid w:val="006C343C"/>
    <w:rsid w:val="006C3B79"/>
    <w:rsid w:val="006C3F47"/>
    <w:rsid w:val="006C5EC9"/>
    <w:rsid w:val="006C6059"/>
    <w:rsid w:val="006C68A3"/>
    <w:rsid w:val="006C701B"/>
    <w:rsid w:val="006C7522"/>
    <w:rsid w:val="006D0354"/>
    <w:rsid w:val="006D0BDF"/>
    <w:rsid w:val="006D1332"/>
    <w:rsid w:val="006D1447"/>
    <w:rsid w:val="006D165F"/>
    <w:rsid w:val="006D2B8B"/>
    <w:rsid w:val="006D2E22"/>
    <w:rsid w:val="006D2FAE"/>
    <w:rsid w:val="006D3764"/>
    <w:rsid w:val="006D3FB7"/>
    <w:rsid w:val="006D4418"/>
    <w:rsid w:val="006D45A4"/>
    <w:rsid w:val="006D514D"/>
    <w:rsid w:val="006D517D"/>
    <w:rsid w:val="006D539E"/>
    <w:rsid w:val="006D5A23"/>
    <w:rsid w:val="006D6F08"/>
    <w:rsid w:val="006D7429"/>
    <w:rsid w:val="006D7731"/>
    <w:rsid w:val="006D7857"/>
    <w:rsid w:val="006D7ECF"/>
    <w:rsid w:val="006E051E"/>
    <w:rsid w:val="006E062C"/>
    <w:rsid w:val="006E1C82"/>
    <w:rsid w:val="006E23B2"/>
    <w:rsid w:val="006E23D0"/>
    <w:rsid w:val="006E259E"/>
    <w:rsid w:val="006E28B7"/>
    <w:rsid w:val="006E2A9B"/>
    <w:rsid w:val="006E3247"/>
    <w:rsid w:val="006E3310"/>
    <w:rsid w:val="006E40F2"/>
    <w:rsid w:val="006E4E39"/>
    <w:rsid w:val="006E518F"/>
    <w:rsid w:val="006E565E"/>
    <w:rsid w:val="006E673D"/>
    <w:rsid w:val="006E686A"/>
    <w:rsid w:val="006E68AF"/>
    <w:rsid w:val="006E6D32"/>
    <w:rsid w:val="006E6E05"/>
    <w:rsid w:val="006E6F5C"/>
    <w:rsid w:val="006E7D3B"/>
    <w:rsid w:val="006F00D0"/>
    <w:rsid w:val="006F15C5"/>
    <w:rsid w:val="006F1B70"/>
    <w:rsid w:val="006F1E5B"/>
    <w:rsid w:val="006F2704"/>
    <w:rsid w:val="006F2D5E"/>
    <w:rsid w:val="006F341D"/>
    <w:rsid w:val="006F3867"/>
    <w:rsid w:val="006F3A78"/>
    <w:rsid w:val="006F3CDE"/>
    <w:rsid w:val="006F563A"/>
    <w:rsid w:val="006F569B"/>
    <w:rsid w:val="006F58D4"/>
    <w:rsid w:val="006F6260"/>
    <w:rsid w:val="006F6582"/>
    <w:rsid w:val="006F67B4"/>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838"/>
    <w:rsid w:val="00705C77"/>
    <w:rsid w:val="00706101"/>
    <w:rsid w:val="00707072"/>
    <w:rsid w:val="00707112"/>
    <w:rsid w:val="007072AD"/>
    <w:rsid w:val="00707B8C"/>
    <w:rsid w:val="00707D61"/>
    <w:rsid w:val="00707F5C"/>
    <w:rsid w:val="0071013F"/>
    <w:rsid w:val="00710898"/>
    <w:rsid w:val="00710C7D"/>
    <w:rsid w:val="007116A4"/>
    <w:rsid w:val="00711A21"/>
    <w:rsid w:val="00711AB8"/>
    <w:rsid w:val="0071218F"/>
    <w:rsid w:val="00712287"/>
    <w:rsid w:val="00712321"/>
    <w:rsid w:val="00712772"/>
    <w:rsid w:val="00713AF6"/>
    <w:rsid w:val="00713C95"/>
    <w:rsid w:val="00713F3E"/>
    <w:rsid w:val="0071457A"/>
    <w:rsid w:val="007148D3"/>
    <w:rsid w:val="00715B9A"/>
    <w:rsid w:val="00715C4F"/>
    <w:rsid w:val="00715CA9"/>
    <w:rsid w:val="00716693"/>
    <w:rsid w:val="00716D80"/>
    <w:rsid w:val="00720479"/>
    <w:rsid w:val="00722266"/>
    <w:rsid w:val="0072349B"/>
    <w:rsid w:val="0072405E"/>
    <w:rsid w:val="00724480"/>
    <w:rsid w:val="0072473A"/>
    <w:rsid w:val="00724D91"/>
    <w:rsid w:val="00725014"/>
    <w:rsid w:val="007251E7"/>
    <w:rsid w:val="007252F4"/>
    <w:rsid w:val="00725462"/>
    <w:rsid w:val="007256BD"/>
    <w:rsid w:val="007257D0"/>
    <w:rsid w:val="0072586F"/>
    <w:rsid w:val="00725D8D"/>
    <w:rsid w:val="00726EA6"/>
    <w:rsid w:val="00727208"/>
    <w:rsid w:val="00727680"/>
    <w:rsid w:val="00730552"/>
    <w:rsid w:val="00732F42"/>
    <w:rsid w:val="007331E2"/>
    <w:rsid w:val="007338B3"/>
    <w:rsid w:val="00733C39"/>
    <w:rsid w:val="0073453E"/>
    <w:rsid w:val="007348B1"/>
    <w:rsid w:val="00734E29"/>
    <w:rsid w:val="007352A0"/>
    <w:rsid w:val="00735A32"/>
    <w:rsid w:val="007362A6"/>
    <w:rsid w:val="00736D7D"/>
    <w:rsid w:val="007370D2"/>
    <w:rsid w:val="00737260"/>
    <w:rsid w:val="00740648"/>
    <w:rsid w:val="00740E58"/>
    <w:rsid w:val="00740E6D"/>
    <w:rsid w:val="007421E2"/>
    <w:rsid w:val="007422FF"/>
    <w:rsid w:val="007425D4"/>
    <w:rsid w:val="00742C3F"/>
    <w:rsid w:val="00743041"/>
    <w:rsid w:val="00743F9B"/>
    <w:rsid w:val="007443B4"/>
    <w:rsid w:val="007445A0"/>
    <w:rsid w:val="0074524B"/>
    <w:rsid w:val="0074536E"/>
    <w:rsid w:val="00745737"/>
    <w:rsid w:val="00746BE5"/>
    <w:rsid w:val="00746C9D"/>
    <w:rsid w:val="00747D8B"/>
    <w:rsid w:val="00750640"/>
    <w:rsid w:val="007506B5"/>
    <w:rsid w:val="007510AB"/>
    <w:rsid w:val="00751228"/>
    <w:rsid w:val="007513CF"/>
    <w:rsid w:val="00752407"/>
    <w:rsid w:val="007524B3"/>
    <w:rsid w:val="00752D71"/>
    <w:rsid w:val="00753A7F"/>
    <w:rsid w:val="007541F0"/>
    <w:rsid w:val="00754867"/>
    <w:rsid w:val="00754BC6"/>
    <w:rsid w:val="00754D76"/>
    <w:rsid w:val="007554A7"/>
    <w:rsid w:val="007554FD"/>
    <w:rsid w:val="00755E39"/>
    <w:rsid w:val="00756408"/>
    <w:rsid w:val="007571E1"/>
    <w:rsid w:val="00757A16"/>
    <w:rsid w:val="00757C92"/>
    <w:rsid w:val="007604B2"/>
    <w:rsid w:val="007612A8"/>
    <w:rsid w:val="007613EB"/>
    <w:rsid w:val="00761A06"/>
    <w:rsid w:val="00761C62"/>
    <w:rsid w:val="00762686"/>
    <w:rsid w:val="00763F6B"/>
    <w:rsid w:val="007642BD"/>
    <w:rsid w:val="0076442A"/>
    <w:rsid w:val="007647DD"/>
    <w:rsid w:val="00764E62"/>
    <w:rsid w:val="00765281"/>
    <w:rsid w:val="0076608D"/>
    <w:rsid w:val="00766BAD"/>
    <w:rsid w:val="00767390"/>
    <w:rsid w:val="0076788F"/>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8A7"/>
    <w:rsid w:val="00780A80"/>
    <w:rsid w:val="007815D0"/>
    <w:rsid w:val="0078177E"/>
    <w:rsid w:val="00782679"/>
    <w:rsid w:val="00782863"/>
    <w:rsid w:val="007828F9"/>
    <w:rsid w:val="0078304C"/>
    <w:rsid w:val="00783673"/>
    <w:rsid w:val="00783F39"/>
    <w:rsid w:val="00784649"/>
    <w:rsid w:val="00784ACB"/>
    <w:rsid w:val="00785490"/>
    <w:rsid w:val="0078604A"/>
    <w:rsid w:val="007864CD"/>
    <w:rsid w:val="00786731"/>
    <w:rsid w:val="00787330"/>
    <w:rsid w:val="007911F6"/>
    <w:rsid w:val="007917CD"/>
    <w:rsid w:val="007925EA"/>
    <w:rsid w:val="007934FB"/>
    <w:rsid w:val="007936BF"/>
    <w:rsid w:val="00793943"/>
    <w:rsid w:val="00793CD8"/>
    <w:rsid w:val="007944BB"/>
    <w:rsid w:val="00795091"/>
    <w:rsid w:val="00795434"/>
    <w:rsid w:val="00795544"/>
    <w:rsid w:val="00795C92"/>
    <w:rsid w:val="00795EA2"/>
    <w:rsid w:val="0079613D"/>
    <w:rsid w:val="00796231"/>
    <w:rsid w:val="00796553"/>
    <w:rsid w:val="007A029A"/>
    <w:rsid w:val="007A0426"/>
    <w:rsid w:val="007A078B"/>
    <w:rsid w:val="007A0981"/>
    <w:rsid w:val="007A0AA8"/>
    <w:rsid w:val="007A0F94"/>
    <w:rsid w:val="007A1CB3"/>
    <w:rsid w:val="007A1CFB"/>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4B39"/>
    <w:rsid w:val="007B50AE"/>
    <w:rsid w:val="007B51DF"/>
    <w:rsid w:val="007B53F3"/>
    <w:rsid w:val="007B5D19"/>
    <w:rsid w:val="007B5E31"/>
    <w:rsid w:val="007B60CA"/>
    <w:rsid w:val="007B6709"/>
    <w:rsid w:val="007B6A7B"/>
    <w:rsid w:val="007B70F4"/>
    <w:rsid w:val="007B75DB"/>
    <w:rsid w:val="007B789A"/>
    <w:rsid w:val="007B7F2E"/>
    <w:rsid w:val="007C05DD"/>
    <w:rsid w:val="007C06BE"/>
    <w:rsid w:val="007C0C29"/>
    <w:rsid w:val="007C0C9B"/>
    <w:rsid w:val="007C0CB1"/>
    <w:rsid w:val="007C1429"/>
    <w:rsid w:val="007C1D11"/>
    <w:rsid w:val="007C206B"/>
    <w:rsid w:val="007C25F9"/>
    <w:rsid w:val="007C2950"/>
    <w:rsid w:val="007C2E66"/>
    <w:rsid w:val="007C33A9"/>
    <w:rsid w:val="007C37BE"/>
    <w:rsid w:val="007C3D18"/>
    <w:rsid w:val="007C48D7"/>
    <w:rsid w:val="007C4FC3"/>
    <w:rsid w:val="007C5399"/>
    <w:rsid w:val="007C5782"/>
    <w:rsid w:val="007C5796"/>
    <w:rsid w:val="007C60BF"/>
    <w:rsid w:val="007C631D"/>
    <w:rsid w:val="007C6A07"/>
    <w:rsid w:val="007C6A60"/>
    <w:rsid w:val="007C75A1"/>
    <w:rsid w:val="007C77A5"/>
    <w:rsid w:val="007C78A6"/>
    <w:rsid w:val="007C7981"/>
    <w:rsid w:val="007D0100"/>
    <w:rsid w:val="007D0117"/>
    <w:rsid w:val="007D04D1"/>
    <w:rsid w:val="007D04E5"/>
    <w:rsid w:val="007D05DB"/>
    <w:rsid w:val="007D2570"/>
    <w:rsid w:val="007D302A"/>
    <w:rsid w:val="007D3277"/>
    <w:rsid w:val="007D3634"/>
    <w:rsid w:val="007D37F4"/>
    <w:rsid w:val="007D4992"/>
    <w:rsid w:val="007D5901"/>
    <w:rsid w:val="007D5E05"/>
    <w:rsid w:val="007D5E37"/>
    <w:rsid w:val="007D65B8"/>
    <w:rsid w:val="007D7526"/>
    <w:rsid w:val="007D7570"/>
    <w:rsid w:val="007D7866"/>
    <w:rsid w:val="007D7E8B"/>
    <w:rsid w:val="007E1502"/>
    <w:rsid w:val="007E2464"/>
    <w:rsid w:val="007E261D"/>
    <w:rsid w:val="007E2AE7"/>
    <w:rsid w:val="007E2C61"/>
    <w:rsid w:val="007E30F7"/>
    <w:rsid w:val="007E3529"/>
    <w:rsid w:val="007E3DEE"/>
    <w:rsid w:val="007E4610"/>
    <w:rsid w:val="007E4715"/>
    <w:rsid w:val="007E4C32"/>
    <w:rsid w:val="007E505B"/>
    <w:rsid w:val="007E5163"/>
    <w:rsid w:val="007E5263"/>
    <w:rsid w:val="007E5943"/>
    <w:rsid w:val="007E5B22"/>
    <w:rsid w:val="007E65DD"/>
    <w:rsid w:val="007E6FD9"/>
    <w:rsid w:val="007E7091"/>
    <w:rsid w:val="007F0A8C"/>
    <w:rsid w:val="007F11E4"/>
    <w:rsid w:val="007F14A3"/>
    <w:rsid w:val="007F1A5D"/>
    <w:rsid w:val="007F1DD3"/>
    <w:rsid w:val="007F249D"/>
    <w:rsid w:val="007F290F"/>
    <w:rsid w:val="007F3EDF"/>
    <w:rsid w:val="007F46E5"/>
    <w:rsid w:val="007F471B"/>
    <w:rsid w:val="007F4C93"/>
    <w:rsid w:val="007F4C9B"/>
    <w:rsid w:val="007F5E06"/>
    <w:rsid w:val="007F60C4"/>
    <w:rsid w:val="007F63EA"/>
    <w:rsid w:val="007F65AB"/>
    <w:rsid w:val="007F6825"/>
    <w:rsid w:val="007F7CCD"/>
    <w:rsid w:val="00800EEB"/>
    <w:rsid w:val="00801F49"/>
    <w:rsid w:val="008033DF"/>
    <w:rsid w:val="00803D93"/>
    <w:rsid w:val="00803FAE"/>
    <w:rsid w:val="00805AC4"/>
    <w:rsid w:val="0080605F"/>
    <w:rsid w:val="008075C7"/>
    <w:rsid w:val="00807786"/>
    <w:rsid w:val="00807921"/>
    <w:rsid w:val="008101AF"/>
    <w:rsid w:val="008102C0"/>
    <w:rsid w:val="00810620"/>
    <w:rsid w:val="00811A6C"/>
    <w:rsid w:val="00811FCB"/>
    <w:rsid w:val="00812725"/>
    <w:rsid w:val="00812860"/>
    <w:rsid w:val="00813075"/>
    <w:rsid w:val="0081377E"/>
    <w:rsid w:val="008138B1"/>
    <w:rsid w:val="00813A38"/>
    <w:rsid w:val="008147D9"/>
    <w:rsid w:val="00814A9E"/>
    <w:rsid w:val="008158D6"/>
    <w:rsid w:val="00815C4D"/>
    <w:rsid w:val="00815DFE"/>
    <w:rsid w:val="00816196"/>
    <w:rsid w:val="00816422"/>
    <w:rsid w:val="008167C3"/>
    <w:rsid w:val="00816B65"/>
    <w:rsid w:val="00816DB6"/>
    <w:rsid w:val="00817196"/>
    <w:rsid w:val="008206E4"/>
    <w:rsid w:val="00820944"/>
    <w:rsid w:val="00822010"/>
    <w:rsid w:val="00822350"/>
    <w:rsid w:val="0082268C"/>
    <w:rsid w:val="008235DB"/>
    <w:rsid w:val="008239E9"/>
    <w:rsid w:val="008243B8"/>
    <w:rsid w:val="00824AB4"/>
    <w:rsid w:val="008252F0"/>
    <w:rsid w:val="00825790"/>
    <w:rsid w:val="008257EA"/>
    <w:rsid w:val="008259D4"/>
    <w:rsid w:val="00825C42"/>
    <w:rsid w:val="00825D25"/>
    <w:rsid w:val="008277D3"/>
    <w:rsid w:val="00827D6F"/>
    <w:rsid w:val="00830C5C"/>
    <w:rsid w:val="008310AF"/>
    <w:rsid w:val="00831457"/>
    <w:rsid w:val="00831497"/>
    <w:rsid w:val="008316EB"/>
    <w:rsid w:val="00831E3C"/>
    <w:rsid w:val="00831FD9"/>
    <w:rsid w:val="008338AD"/>
    <w:rsid w:val="00833B3E"/>
    <w:rsid w:val="008340BE"/>
    <w:rsid w:val="008343A4"/>
    <w:rsid w:val="008346DF"/>
    <w:rsid w:val="00834C47"/>
    <w:rsid w:val="00835023"/>
    <w:rsid w:val="00835171"/>
    <w:rsid w:val="00835AA4"/>
    <w:rsid w:val="0083625F"/>
    <w:rsid w:val="008370FA"/>
    <w:rsid w:val="008376AC"/>
    <w:rsid w:val="008376EA"/>
    <w:rsid w:val="00840038"/>
    <w:rsid w:val="00841D01"/>
    <w:rsid w:val="00842FA6"/>
    <w:rsid w:val="008430DE"/>
    <w:rsid w:val="008444E8"/>
    <w:rsid w:val="00844C79"/>
    <w:rsid w:val="00844E80"/>
    <w:rsid w:val="0084547D"/>
    <w:rsid w:val="008460E8"/>
    <w:rsid w:val="008462EF"/>
    <w:rsid w:val="00846764"/>
    <w:rsid w:val="00846FE7"/>
    <w:rsid w:val="008473E7"/>
    <w:rsid w:val="00847F79"/>
    <w:rsid w:val="008503A5"/>
    <w:rsid w:val="00850F72"/>
    <w:rsid w:val="008527ED"/>
    <w:rsid w:val="00852E1A"/>
    <w:rsid w:val="00852E8F"/>
    <w:rsid w:val="008554DE"/>
    <w:rsid w:val="0085564D"/>
    <w:rsid w:val="00856078"/>
    <w:rsid w:val="008560D0"/>
    <w:rsid w:val="00856132"/>
    <w:rsid w:val="00856911"/>
    <w:rsid w:val="00856C76"/>
    <w:rsid w:val="0085724B"/>
    <w:rsid w:val="00857724"/>
    <w:rsid w:val="008610A7"/>
    <w:rsid w:val="00863250"/>
    <w:rsid w:val="00863731"/>
    <w:rsid w:val="00864067"/>
    <w:rsid w:val="00866253"/>
    <w:rsid w:val="00866275"/>
    <w:rsid w:val="00866519"/>
    <w:rsid w:val="00866B45"/>
    <w:rsid w:val="0086734F"/>
    <w:rsid w:val="008677FD"/>
    <w:rsid w:val="0087041F"/>
    <w:rsid w:val="008706D4"/>
    <w:rsid w:val="00870D60"/>
    <w:rsid w:val="00870F8A"/>
    <w:rsid w:val="008719A4"/>
    <w:rsid w:val="00871D23"/>
    <w:rsid w:val="008730A9"/>
    <w:rsid w:val="0087312F"/>
    <w:rsid w:val="00873E8D"/>
    <w:rsid w:val="00874312"/>
    <w:rsid w:val="0087437C"/>
    <w:rsid w:val="00874B15"/>
    <w:rsid w:val="008751A7"/>
    <w:rsid w:val="00875429"/>
    <w:rsid w:val="00875708"/>
    <w:rsid w:val="00875CD7"/>
    <w:rsid w:val="008767C8"/>
    <w:rsid w:val="00876B4D"/>
    <w:rsid w:val="00877358"/>
    <w:rsid w:val="0087756E"/>
    <w:rsid w:val="0087798A"/>
    <w:rsid w:val="008779AD"/>
    <w:rsid w:val="00877E38"/>
    <w:rsid w:val="00877F18"/>
    <w:rsid w:val="00880175"/>
    <w:rsid w:val="008809FC"/>
    <w:rsid w:val="0088110F"/>
    <w:rsid w:val="008817CC"/>
    <w:rsid w:val="008819C7"/>
    <w:rsid w:val="00882009"/>
    <w:rsid w:val="00883846"/>
    <w:rsid w:val="0088432B"/>
    <w:rsid w:val="00884D27"/>
    <w:rsid w:val="008860F9"/>
    <w:rsid w:val="008863A5"/>
    <w:rsid w:val="008865D5"/>
    <w:rsid w:val="00886F51"/>
    <w:rsid w:val="00887483"/>
    <w:rsid w:val="0088753D"/>
    <w:rsid w:val="008878BF"/>
    <w:rsid w:val="00891023"/>
    <w:rsid w:val="0089202F"/>
    <w:rsid w:val="008928BC"/>
    <w:rsid w:val="008933ED"/>
    <w:rsid w:val="00894114"/>
    <w:rsid w:val="008941E3"/>
    <w:rsid w:val="008942CF"/>
    <w:rsid w:val="00894469"/>
    <w:rsid w:val="00894898"/>
    <w:rsid w:val="00894A88"/>
    <w:rsid w:val="00895386"/>
    <w:rsid w:val="00896896"/>
    <w:rsid w:val="008973CC"/>
    <w:rsid w:val="0089763D"/>
    <w:rsid w:val="0089779F"/>
    <w:rsid w:val="00897AF9"/>
    <w:rsid w:val="008A00C2"/>
    <w:rsid w:val="008A1007"/>
    <w:rsid w:val="008A17F5"/>
    <w:rsid w:val="008A1B96"/>
    <w:rsid w:val="008A21FF"/>
    <w:rsid w:val="008A288F"/>
    <w:rsid w:val="008A2CE2"/>
    <w:rsid w:val="008A2F24"/>
    <w:rsid w:val="008A30AC"/>
    <w:rsid w:val="008A3A45"/>
    <w:rsid w:val="008A3AAD"/>
    <w:rsid w:val="008A4324"/>
    <w:rsid w:val="008A44B8"/>
    <w:rsid w:val="008A51A8"/>
    <w:rsid w:val="008A5412"/>
    <w:rsid w:val="008A54C7"/>
    <w:rsid w:val="008A59F8"/>
    <w:rsid w:val="008A5ACE"/>
    <w:rsid w:val="008A5D1D"/>
    <w:rsid w:val="008A5FBC"/>
    <w:rsid w:val="008A66D8"/>
    <w:rsid w:val="008A75F4"/>
    <w:rsid w:val="008A767C"/>
    <w:rsid w:val="008A77D8"/>
    <w:rsid w:val="008A7AC0"/>
    <w:rsid w:val="008A7D8A"/>
    <w:rsid w:val="008A7EE3"/>
    <w:rsid w:val="008B0483"/>
    <w:rsid w:val="008B049D"/>
    <w:rsid w:val="008B0CEA"/>
    <w:rsid w:val="008B0E05"/>
    <w:rsid w:val="008B0FFA"/>
    <w:rsid w:val="008B120C"/>
    <w:rsid w:val="008B1481"/>
    <w:rsid w:val="008B1F77"/>
    <w:rsid w:val="008B2320"/>
    <w:rsid w:val="008B2E24"/>
    <w:rsid w:val="008B3B48"/>
    <w:rsid w:val="008B49C7"/>
    <w:rsid w:val="008B51A0"/>
    <w:rsid w:val="008B5379"/>
    <w:rsid w:val="008B592A"/>
    <w:rsid w:val="008B61A7"/>
    <w:rsid w:val="008B7B5C"/>
    <w:rsid w:val="008C02EB"/>
    <w:rsid w:val="008C0338"/>
    <w:rsid w:val="008C089B"/>
    <w:rsid w:val="008C0997"/>
    <w:rsid w:val="008C0C99"/>
    <w:rsid w:val="008C2017"/>
    <w:rsid w:val="008C23F9"/>
    <w:rsid w:val="008C2843"/>
    <w:rsid w:val="008C3726"/>
    <w:rsid w:val="008C3821"/>
    <w:rsid w:val="008C40DF"/>
    <w:rsid w:val="008C4751"/>
    <w:rsid w:val="008C4958"/>
    <w:rsid w:val="008C4BAA"/>
    <w:rsid w:val="008C4C24"/>
    <w:rsid w:val="008C4F49"/>
    <w:rsid w:val="008C56AB"/>
    <w:rsid w:val="008C580F"/>
    <w:rsid w:val="008C5C24"/>
    <w:rsid w:val="008C5E18"/>
    <w:rsid w:val="008C6497"/>
    <w:rsid w:val="008C6AE8"/>
    <w:rsid w:val="008C6E2D"/>
    <w:rsid w:val="008C6E6E"/>
    <w:rsid w:val="008C6F3E"/>
    <w:rsid w:val="008C6FDE"/>
    <w:rsid w:val="008C7573"/>
    <w:rsid w:val="008D00A5"/>
    <w:rsid w:val="008D07C4"/>
    <w:rsid w:val="008D1146"/>
    <w:rsid w:val="008D14DE"/>
    <w:rsid w:val="008D2933"/>
    <w:rsid w:val="008D3032"/>
    <w:rsid w:val="008D3410"/>
    <w:rsid w:val="008D3439"/>
    <w:rsid w:val="008D34F1"/>
    <w:rsid w:val="008D39D8"/>
    <w:rsid w:val="008D3A10"/>
    <w:rsid w:val="008D3ADA"/>
    <w:rsid w:val="008D3E20"/>
    <w:rsid w:val="008D3ED4"/>
    <w:rsid w:val="008D3F6F"/>
    <w:rsid w:val="008D4C64"/>
    <w:rsid w:val="008D51F3"/>
    <w:rsid w:val="008D5C93"/>
    <w:rsid w:val="008D60D7"/>
    <w:rsid w:val="008D626F"/>
    <w:rsid w:val="008D6578"/>
    <w:rsid w:val="008D689C"/>
    <w:rsid w:val="008D6D1A"/>
    <w:rsid w:val="008D73EF"/>
    <w:rsid w:val="008D7438"/>
    <w:rsid w:val="008D7C76"/>
    <w:rsid w:val="008E065E"/>
    <w:rsid w:val="008E0927"/>
    <w:rsid w:val="008E09DD"/>
    <w:rsid w:val="008E173D"/>
    <w:rsid w:val="008E1909"/>
    <w:rsid w:val="008E2291"/>
    <w:rsid w:val="008E2C59"/>
    <w:rsid w:val="008E3727"/>
    <w:rsid w:val="008E374C"/>
    <w:rsid w:val="008E3C92"/>
    <w:rsid w:val="008E3EC1"/>
    <w:rsid w:val="008E43CD"/>
    <w:rsid w:val="008E55A9"/>
    <w:rsid w:val="008E57D2"/>
    <w:rsid w:val="008E590F"/>
    <w:rsid w:val="008E5EE9"/>
    <w:rsid w:val="008E6B47"/>
    <w:rsid w:val="008E704B"/>
    <w:rsid w:val="008F0054"/>
    <w:rsid w:val="008F024C"/>
    <w:rsid w:val="008F0479"/>
    <w:rsid w:val="008F106C"/>
    <w:rsid w:val="008F1EAB"/>
    <w:rsid w:val="008F20B4"/>
    <w:rsid w:val="008F2284"/>
    <w:rsid w:val="008F273B"/>
    <w:rsid w:val="008F33DC"/>
    <w:rsid w:val="008F342D"/>
    <w:rsid w:val="008F371D"/>
    <w:rsid w:val="008F410E"/>
    <w:rsid w:val="008F477F"/>
    <w:rsid w:val="008F47C7"/>
    <w:rsid w:val="008F5239"/>
    <w:rsid w:val="008F55C3"/>
    <w:rsid w:val="008F5C8D"/>
    <w:rsid w:val="008F679F"/>
    <w:rsid w:val="008F7413"/>
    <w:rsid w:val="008F7D38"/>
    <w:rsid w:val="00900A54"/>
    <w:rsid w:val="00901FF9"/>
    <w:rsid w:val="00902350"/>
    <w:rsid w:val="009024B2"/>
    <w:rsid w:val="0090336B"/>
    <w:rsid w:val="00903D1F"/>
    <w:rsid w:val="009040D5"/>
    <w:rsid w:val="0090421B"/>
    <w:rsid w:val="00904731"/>
    <w:rsid w:val="009053AA"/>
    <w:rsid w:val="009058AD"/>
    <w:rsid w:val="00905FD2"/>
    <w:rsid w:val="00906686"/>
    <w:rsid w:val="00906939"/>
    <w:rsid w:val="00907338"/>
    <w:rsid w:val="00907807"/>
    <w:rsid w:val="009104B0"/>
    <w:rsid w:val="0091057F"/>
    <w:rsid w:val="009105EA"/>
    <w:rsid w:val="009109FE"/>
    <w:rsid w:val="00910B7D"/>
    <w:rsid w:val="00910F5B"/>
    <w:rsid w:val="00911212"/>
    <w:rsid w:val="0091163B"/>
    <w:rsid w:val="009116BB"/>
    <w:rsid w:val="00911DFB"/>
    <w:rsid w:val="009139D9"/>
    <w:rsid w:val="00913E64"/>
    <w:rsid w:val="009140FC"/>
    <w:rsid w:val="00914210"/>
    <w:rsid w:val="009148C0"/>
    <w:rsid w:val="00914AD8"/>
    <w:rsid w:val="00914F5A"/>
    <w:rsid w:val="00915A92"/>
    <w:rsid w:val="00916079"/>
    <w:rsid w:val="009164F7"/>
    <w:rsid w:val="00916840"/>
    <w:rsid w:val="009168D8"/>
    <w:rsid w:val="00917CE9"/>
    <w:rsid w:val="009204DF"/>
    <w:rsid w:val="00920BF2"/>
    <w:rsid w:val="009212DC"/>
    <w:rsid w:val="0092131F"/>
    <w:rsid w:val="00921393"/>
    <w:rsid w:val="00921967"/>
    <w:rsid w:val="00921BC5"/>
    <w:rsid w:val="00921C67"/>
    <w:rsid w:val="00922010"/>
    <w:rsid w:val="00922436"/>
    <w:rsid w:val="00923165"/>
    <w:rsid w:val="009236E2"/>
    <w:rsid w:val="009248DC"/>
    <w:rsid w:val="00924C52"/>
    <w:rsid w:val="009254F0"/>
    <w:rsid w:val="00925E67"/>
    <w:rsid w:val="00926123"/>
    <w:rsid w:val="0092731A"/>
    <w:rsid w:val="00927413"/>
    <w:rsid w:val="009277BF"/>
    <w:rsid w:val="009278A6"/>
    <w:rsid w:val="00927DAF"/>
    <w:rsid w:val="00930C48"/>
    <w:rsid w:val="009310F3"/>
    <w:rsid w:val="009312FC"/>
    <w:rsid w:val="00931BD9"/>
    <w:rsid w:val="00931BE3"/>
    <w:rsid w:val="009326BF"/>
    <w:rsid w:val="00932966"/>
    <w:rsid w:val="00933081"/>
    <w:rsid w:val="009332B7"/>
    <w:rsid w:val="0093391A"/>
    <w:rsid w:val="00933A73"/>
    <w:rsid w:val="00933C65"/>
    <w:rsid w:val="00933CB8"/>
    <w:rsid w:val="009357A5"/>
    <w:rsid w:val="009365FF"/>
    <w:rsid w:val="00936875"/>
    <w:rsid w:val="009368F3"/>
    <w:rsid w:val="0093706E"/>
    <w:rsid w:val="009376DF"/>
    <w:rsid w:val="009378A1"/>
    <w:rsid w:val="009407CF"/>
    <w:rsid w:val="00940A64"/>
    <w:rsid w:val="009412D6"/>
    <w:rsid w:val="00941636"/>
    <w:rsid w:val="00941A8B"/>
    <w:rsid w:val="0094247E"/>
    <w:rsid w:val="0094276C"/>
    <w:rsid w:val="0094309A"/>
    <w:rsid w:val="00943742"/>
    <w:rsid w:val="00944ABB"/>
    <w:rsid w:val="00944B42"/>
    <w:rsid w:val="00944F42"/>
    <w:rsid w:val="00944F97"/>
    <w:rsid w:val="009451EA"/>
    <w:rsid w:val="00945C05"/>
    <w:rsid w:val="00945E2F"/>
    <w:rsid w:val="00946945"/>
    <w:rsid w:val="00946E39"/>
    <w:rsid w:val="00947713"/>
    <w:rsid w:val="0094791E"/>
    <w:rsid w:val="00947C0F"/>
    <w:rsid w:val="00950329"/>
    <w:rsid w:val="00950C8A"/>
    <w:rsid w:val="00950DE7"/>
    <w:rsid w:val="0095134F"/>
    <w:rsid w:val="009518D4"/>
    <w:rsid w:val="00951D17"/>
    <w:rsid w:val="0095239F"/>
    <w:rsid w:val="00953920"/>
    <w:rsid w:val="00953D47"/>
    <w:rsid w:val="0095542B"/>
    <w:rsid w:val="00955B86"/>
    <w:rsid w:val="0095681E"/>
    <w:rsid w:val="00956ED4"/>
    <w:rsid w:val="009572D4"/>
    <w:rsid w:val="009576C7"/>
    <w:rsid w:val="00960219"/>
    <w:rsid w:val="009608A8"/>
    <w:rsid w:val="00961321"/>
    <w:rsid w:val="00961921"/>
    <w:rsid w:val="00961B2D"/>
    <w:rsid w:val="0096263A"/>
    <w:rsid w:val="00962975"/>
    <w:rsid w:val="00962ADC"/>
    <w:rsid w:val="009630AB"/>
    <w:rsid w:val="009633EA"/>
    <w:rsid w:val="00963455"/>
    <w:rsid w:val="00963464"/>
    <w:rsid w:val="0096355A"/>
    <w:rsid w:val="009638B5"/>
    <w:rsid w:val="00963B6E"/>
    <w:rsid w:val="00963F30"/>
    <w:rsid w:val="0096430A"/>
    <w:rsid w:val="0096476A"/>
    <w:rsid w:val="00964CDF"/>
    <w:rsid w:val="0096554B"/>
    <w:rsid w:val="0096584A"/>
    <w:rsid w:val="00965B4D"/>
    <w:rsid w:val="00966101"/>
    <w:rsid w:val="00966723"/>
    <w:rsid w:val="00966AF7"/>
    <w:rsid w:val="00966E94"/>
    <w:rsid w:val="0097109B"/>
    <w:rsid w:val="00971BBE"/>
    <w:rsid w:val="00971F08"/>
    <w:rsid w:val="00972AB0"/>
    <w:rsid w:val="009738DE"/>
    <w:rsid w:val="00973926"/>
    <w:rsid w:val="00974285"/>
    <w:rsid w:val="0097498F"/>
    <w:rsid w:val="00974C3E"/>
    <w:rsid w:val="00974CA6"/>
    <w:rsid w:val="009754F8"/>
    <w:rsid w:val="009757DD"/>
    <w:rsid w:val="0097603D"/>
    <w:rsid w:val="00976949"/>
    <w:rsid w:val="00976FBD"/>
    <w:rsid w:val="0097714F"/>
    <w:rsid w:val="00977A97"/>
    <w:rsid w:val="00977CFF"/>
    <w:rsid w:val="00977DFC"/>
    <w:rsid w:val="00980477"/>
    <w:rsid w:val="00981384"/>
    <w:rsid w:val="009815D6"/>
    <w:rsid w:val="00981D22"/>
    <w:rsid w:val="009831A5"/>
    <w:rsid w:val="00984EA3"/>
    <w:rsid w:val="00985253"/>
    <w:rsid w:val="009853B3"/>
    <w:rsid w:val="0098576D"/>
    <w:rsid w:val="00987D4E"/>
    <w:rsid w:val="00990630"/>
    <w:rsid w:val="009909D6"/>
    <w:rsid w:val="0099110B"/>
    <w:rsid w:val="0099152F"/>
    <w:rsid w:val="00991540"/>
    <w:rsid w:val="00991761"/>
    <w:rsid w:val="0099197F"/>
    <w:rsid w:val="00992021"/>
    <w:rsid w:val="00992B73"/>
    <w:rsid w:val="00993A41"/>
    <w:rsid w:val="00993D35"/>
    <w:rsid w:val="00994DCA"/>
    <w:rsid w:val="00994E39"/>
    <w:rsid w:val="009952A8"/>
    <w:rsid w:val="00995BB7"/>
    <w:rsid w:val="009960EC"/>
    <w:rsid w:val="00996707"/>
    <w:rsid w:val="00996E54"/>
    <w:rsid w:val="009970DD"/>
    <w:rsid w:val="009977D7"/>
    <w:rsid w:val="009A027F"/>
    <w:rsid w:val="009A0289"/>
    <w:rsid w:val="009A0FBA"/>
    <w:rsid w:val="009A1601"/>
    <w:rsid w:val="009A1685"/>
    <w:rsid w:val="009A1E8E"/>
    <w:rsid w:val="009A21E8"/>
    <w:rsid w:val="009A22F4"/>
    <w:rsid w:val="009A2687"/>
    <w:rsid w:val="009A319D"/>
    <w:rsid w:val="009A367F"/>
    <w:rsid w:val="009A3BB6"/>
    <w:rsid w:val="009A462D"/>
    <w:rsid w:val="009A4FF3"/>
    <w:rsid w:val="009A5042"/>
    <w:rsid w:val="009A5183"/>
    <w:rsid w:val="009A5645"/>
    <w:rsid w:val="009A5CBA"/>
    <w:rsid w:val="009A644D"/>
    <w:rsid w:val="009A6EA7"/>
    <w:rsid w:val="009A7B1F"/>
    <w:rsid w:val="009A7E4D"/>
    <w:rsid w:val="009B07E6"/>
    <w:rsid w:val="009B0F8F"/>
    <w:rsid w:val="009B16B4"/>
    <w:rsid w:val="009B1A7D"/>
    <w:rsid w:val="009B1ADB"/>
    <w:rsid w:val="009B1D10"/>
    <w:rsid w:val="009B1F30"/>
    <w:rsid w:val="009B1FE7"/>
    <w:rsid w:val="009B2929"/>
    <w:rsid w:val="009B35AB"/>
    <w:rsid w:val="009B35E0"/>
    <w:rsid w:val="009B3856"/>
    <w:rsid w:val="009B3AC2"/>
    <w:rsid w:val="009B3F4B"/>
    <w:rsid w:val="009B444C"/>
    <w:rsid w:val="009B45C1"/>
    <w:rsid w:val="009B4DF4"/>
    <w:rsid w:val="009B4EA8"/>
    <w:rsid w:val="009B4EB7"/>
    <w:rsid w:val="009B561D"/>
    <w:rsid w:val="009B564E"/>
    <w:rsid w:val="009B5ADC"/>
    <w:rsid w:val="009B615E"/>
    <w:rsid w:val="009B62BE"/>
    <w:rsid w:val="009B69CC"/>
    <w:rsid w:val="009B6A73"/>
    <w:rsid w:val="009B6D08"/>
    <w:rsid w:val="009B7E87"/>
    <w:rsid w:val="009C0057"/>
    <w:rsid w:val="009C0169"/>
    <w:rsid w:val="009C02EC"/>
    <w:rsid w:val="009C0799"/>
    <w:rsid w:val="009C1049"/>
    <w:rsid w:val="009C1DE7"/>
    <w:rsid w:val="009C2A55"/>
    <w:rsid w:val="009C303E"/>
    <w:rsid w:val="009C304F"/>
    <w:rsid w:val="009C3119"/>
    <w:rsid w:val="009C3621"/>
    <w:rsid w:val="009C3CA6"/>
    <w:rsid w:val="009C403E"/>
    <w:rsid w:val="009C420B"/>
    <w:rsid w:val="009C4E25"/>
    <w:rsid w:val="009C50F2"/>
    <w:rsid w:val="009C5828"/>
    <w:rsid w:val="009C6B2A"/>
    <w:rsid w:val="009D0223"/>
    <w:rsid w:val="009D02A3"/>
    <w:rsid w:val="009D05A3"/>
    <w:rsid w:val="009D116F"/>
    <w:rsid w:val="009D3B9B"/>
    <w:rsid w:val="009D404D"/>
    <w:rsid w:val="009D44EA"/>
    <w:rsid w:val="009D4537"/>
    <w:rsid w:val="009D4FF0"/>
    <w:rsid w:val="009D61D0"/>
    <w:rsid w:val="009D703C"/>
    <w:rsid w:val="009D718F"/>
    <w:rsid w:val="009D7483"/>
    <w:rsid w:val="009D7586"/>
    <w:rsid w:val="009E0077"/>
    <w:rsid w:val="009E0115"/>
    <w:rsid w:val="009E068F"/>
    <w:rsid w:val="009E10DF"/>
    <w:rsid w:val="009E14E0"/>
    <w:rsid w:val="009E2304"/>
    <w:rsid w:val="009E2365"/>
    <w:rsid w:val="009E2595"/>
    <w:rsid w:val="009E35DB"/>
    <w:rsid w:val="009E35DE"/>
    <w:rsid w:val="009E37A1"/>
    <w:rsid w:val="009E414C"/>
    <w:rsid w:val="009E47A3"/>
    <w:rsid w:val="009E47AD"/>
    <w:rsid w:val="009E5CC5"/>
    <w:rsid w:val="009E7449"/>
    <w:rsid w:val="009F037E"/>
    <w:rsid w:val="009F0518"/>
    <w:rsid w:val="009F08F3"/>
    <w:rsid w:val="009F11EF"/>
    <w:rsid w:val="009F1952"/>
    <w:rsid w:val="009F1CE6"/>
    <w:rsid w:val="009F2010"/>
    <w:rsid w:val="009F2FFE"/>
    <w:rsid w:val="009F3394"/>
    <w:rsid w:val="009F344F"/>
    <w:rsid w:val="009F3ECD"/>
    <w:rsid w:val="009F4143"/>
    <w:rsid w:val="009F45C0"/>
    <w:rsid w:val="009F50C3"/>
    <w:rsid w:val="009F6767"/>
    <w:rsid w:val="009F6C72"/>
    <w:rsid w:val="009F755B"/>
    <w:rsid w:val="009F75E5"/>
    <w:rsid w:val="009F7E6F"/>
    <w:rsid w:val="00A01371"/>
    <w:rsid w:val="00A014FC"/>
    <w:rsid w:val="00A01FAE"/>
    <w:rsid w:val="00A0204C"/>
    <w:rsid w:val="00A0289A"/>
    <w:rsid w:val="00A031D8"/>
    <w:rsid w:val="00A03A64"/>
    <w:rsid w:val="00A04537"/>
    <w:rsid w:val="00A048A8"/>
    <w:rsid w:val="00A04A98"/>
    <w:rsid w:val="00A04F49"/>
    <w:rsid w:val="00A05BE6"/>
    <w:rsid w:val="00A05C01"/>
    <w:rsid w:val="00A06044"/>
    <w:rsid w:val="00A06EA9"/>
    <w:rsid w:val="00A0702F"/>
    <w:rsid w:val="00A072FC"/>
    <w:rsid w:val="00A073D2"/>
    <w:rsid w:val="00A07510"/>
    <w:rsid w:val="00A103D8"/>
    <w:rsid w:val="00A1150E"/>
    <w:rsid w:val="00A1186D"/>
    <w:rsid w:val="00A1288E"/>
    <w:rsid w:val="00A13028"/>
    <w:rsid w:val="00A138EF"/>
    <w:rsid w:val="00A13A53"/>
    <w:rsid w:val="00A13E54"/>
    <w:rsid w:val="00A155AE"/>
    <w:rsid w:val="00A1561A"/>
    <w:rsid w:val="00A1589F"/>
    <w:rsid w:val="00A16B63"/>
    <w:rsid w:val="00A16CA2"/>
    <w:rsid w:val="00A1744E"/>
    <w:rsid w:val="00A17965"/>
    <w:rsid w:val="00A17F63"/>
    <w:rsid w:val="00A202B2"/>
    <w:rsid w:val="00A203C4"/>
    <w:rsid w:val="00A204FE"/>
    <w:rsid w:val="00A208BA"/>
    <w:rsid w:val="00A214C6"/>
    <w:rsid w:val="00A218B3"/>
    <w:rsid w:val="00A2193B"/>
    <w:rsid w:val="00A22209"/>
    <w:rsid w:val="00A22D6A"/>
    <w:rsid w:val="00A2351A"/>
    <w:rsid w:val="00A23ECB"/>
    <w:rsid w:val="00A2412F"/>
    <w:rsid w:val="00A24B61"/>
    <w:rsid w:val="00A25033"/>
    <w:rsid w:val="00A25224"/>
    <w:rsid w:val="00A264A9"/>
    <w:rsid w:val="00A26961"/>
    <w:rsid w:val="00A269C9"/>
    <w:rsid w:val="00A26DCF"/>
    <w:rsid w:val="00A27785"/>
    <w:rsid w:val="00A30187"/>
    <w:rsid w:val="00A32847"/>
    <w:rsid w:val="00A33097"/>
    <w:rsid w:val="00A3448A"/>
    <w:rsid w:val="00A34AED"/>
    <w:rsid w:val="00A34CCC"/>
    <w:rsid w:val="00A35287"/>
    <w:rsid w:val="00A35612"/>
    <w:rsid w:val="00A35EC2"/>
    <w:rsid w:val="00A36297"/>
    <w:rsid w:val="00A36BD6"/>
    <w:rsid w:val="00A36DCA"/>
    <w:rsid w:val="00A36F6D"/>
    <w:rsid w:val="00A376A0"/>
    <w:rsid w:val="00A37A96"/>
    <w:rsid w:val="00A401F3"/>
    <w:rsid w:val="00A41115"/>
    <w:rsid w:val="00A41E2B"/>
    <w:rsid w:val="00A431AB"/>
    <w:rsid w:val="00A4343F"/>
    <w:rsid w:val="00A43967"/>
    <w:rsid w:val="00A43D6E"/>
    <w:rsid w:val="00A43F51"/>
    <w:rsid w:val="00A4525E"/>
    <w:rsid w:val="00A45B74"/>
    <w:rsid w:val="00A46D3C"/>
    <w:rsid w:val="00A47178"/>
    <w:rsid w:val="00A477B8"/>
    <w:rsid w:val="00A47A5C"/>
    <w:rsid w:val="00A47CDB"/>
    <w:rsid w:val="00A5121B"/>
    <w:rsid w:val="00A523C5"/>
    <w:rsid w:val="00A52798"/>
    <w:rsid w:val="00A528AF"/>
    <w:rsid w:val="00A52E1D"/>
    <w:rsid w:val="00A52EB6"/>
    <w:rsid w:val="00A53DEC"/>
    <w:rsid w:val="00A53E8E"/>
    <w:rsid w:val="00A543BC"/>
    <w:rsid w:val="00A5449B"/>
    <w:rsid w:val="00A548A5"/>
    <w:rsid w:val="00A55922"/>
    <w:rsid w:val="00A57BF5"/>
    <w:rsid w:val="00A57E4D"/>
    <w:rsid w:val="00A60009"/>
    <w:rsid w:val="00A61499"/>
    <w:rsid w:val="00A615E7"/>
    <w:rsid w:val="00A61D48"/>
    <w:rsid w:val="00A61D9E"/>
    <w:rsid w:val="00A62101"/>
    <w:rsid w:val="00A62A77"/>
    <w:rsid w:val="00A63483"/>
    <w:rsid w:val="00A638B5"/>
    <w:rsid w:val="00A6399E"/>
    <w:rsid w:val="00A63C71"/>
    <w:rsid w:val="00A654E1"/>
    <w:rsid w:val="00A657D7"/>
    <w:rsid w:val="00A65C39"/>
    <w:rsid w:val="00A660AC"/>
    <w:rsid w:val="00A66322"/>
    <w:rsid w:val="00A66F12"/>
    <w:rsid w:val="00A67208"/>
    <w:rsid w:val="00A67326"/>
    <w:rsid w:val="00A67E6C"/>
    <w:rsid w:val="00A70971"/>
    <w:rsid w:val="00A70992"/>
    <w:rsid w:val="00A7144B"/>
    <w:rsid w:val="00A71B99"/>
    <w:rsid w:val="00A72124"/>
    <w:rsid w:val="00A72788"/>
    <w:rsid w:val="00A733CD"/>
    <w:rsid w:val="00A73731"/>
    <w:rsid w:val="00A739D0"/>
    <w:rsid w:val="00A73D78"/>
    <w:rsid w:val="00A74B70"/>
    <w:rsid w:val="00A74E4A"/>
    <w:rsid w:val="00A761D4"/>
    <w:rsid w:val="00A76977"/>
    <w:rsid w:val="00A76CA6"/>
    <w:rsid w:val="00A770B3"/>
    <w:rsid w:val="00A77A8E"/>
    <w:rsid w:val="00A77C64"/>
    <w:rsid w:val="00A77DC4"/>
    <w:rsid w:val="00A77EC4"/>
    <w:rsid w:val="00A80B0B"/>
    <w:rsid w:val="00A815A1"/>
    <w:rsid w:val="00A82C8A"/>
    <w:rsid w:val="00A83708"/>
    <w:rsid w:val="00A8379B"/>
    <w:rsid w:val="00A83986"/>
    <w:rsid w:val="00A83ED2"/>
    <w:rsid w:val="00A83F48"/>
    <w:rsid w:val="00A8423A"/>
    <w:rsid w:val="00A842A0"/>
    <w:rsid w:val="00A84351"/>
    <w:rsid w:val="00A84531"/>
    <w:rsid w:val="00A8454D"/>
    <w:rsid w:val="00A84DC2"/>
    <w:rsid w:val="00A8544D"/>
    <w:rsid w:val="00A854AF"/>
    <w:rsid w:val="00A85591"/>
    <w:rsid w:val="00A85FC6"/>
    <w:rsid w:val="00A86435"/>
    <w:rsid w:val="00A91621"/>
    <w:rsid w:val="00A916EA"/>
    <w:rsid w:val="00A91B0F"/>
    <w:rsid w:val="00A92879"/>
    <w:rsid w:val="00A92D25"/>
    <w:rsid w:val="00A9442A"/>
    <w:rsid w:val="00A9592F"/>
    <w:rsid w:val="00A959BA"/>
    <w:rsid w:val="00A96172"/>
    <w:rsid w:val="00A97339"/>
    <w:rsid w:val="00A97FBF"/>
    <w:rsid w:val="00AA001A"/>
    <w:rsid w:val="00AA016F"/>
    <w:rsid w:val="00AA02EA"/>
    <w:rsid w:val="00AA06F3"/>
    <w:rsid w:val="00AA1360"/>
    <w:rsid w:val="00AA1ED6"/>
    <w:rsid w:val="00AA2E28"/>
    <w:rsid w:val="00AA311A"/>
    <w:rsid w:val="00AA3E6F"/>
    <w:rsid w:val="00AA437D"/>
    <w:rsid w:val="00AA4D39"/>
    <w:rsid w:val="00AA51D6"/>
    <w:rsid w:val="00AA6942"/>
    <w:rsid w:val="00AB00B6"/>
    <w:rsid w:val="00AB0BC8"/>
    <w:rsid w:val="00AB0F5A"/>
    <w:rsid w:val="00AB11CA"/>
    <w:rsid w:val="00AB14D9"/>
    <w:rsid w:val="00AB1B85"/>
    <w:rsid w:val="00AB1DAA"/>
    <w:rsid w:val="00AB2356"/>
    <w:rsid w:val="00AB3061"/>
    <w:rsid w:val="00AB3BFF"/>
    <w:rsid w:val="00AB3F2E"/>
    <w:rsid w:val="00AB4223"/>
    <w:rsid w:val="00AB452B"/>
    <w:rsid w:val="00AB466C"/>
    <w:rsid w:val="00AB4AB8"/>
    <w:rsid w:val="00AB4C48"/>
    <w:rsid w:val="00AB4D71"/>
    <w:rsid w:val="00AB5BBC"/>
    <w:rsid w:val="00AB5CB6"/>
    <w:rsid w:val="00AB655E"/>
    <w:rsid w:val="00AB7324"/>
    <w:rsid w:val="00AB794F"/>
    <w:rsid w:val="00AC007F"/>
    <w:rsid w:val="00AC0C59"/>
    <w:rsid w:val="00AC1455"/>
    <w:rsid w:val="00AC2715"/>
    <w:rsid w:val="00AC2ECD"/>
    <w:rsid w:val="00AC3119"/>
    <w:rsid w:val="00AC3C40"/>
    <w:rsid w:val="00AC49FB"/>
    <w:rsid w:val="00AC4F4A"/>
    <w:rsid w:val="00AC527B"/>
    <w:rsid w:val="00AC5A10"/>
    <w:rsid w:val="00AC6219"/>
    <w:rsid w:val="00AC64D7"/>
    <w:rsid w:val="00AC65AD"/>
    <w:rsid w:val="00AC66E7"/>
    <w:rsid w:val="00AD0398"/>
    <w:rsid w:val="00AD0A8C"/>
    <w:rsid w:val="00AD0AA3"/>
    <w:rsid w:val="00AD1334"/>
    <w:rsid w:val="00AD17B9"/>
    <w:rsid w:val="00AD1BB2"/>
    <w:rsid w:val="00AD256D"/>
    <w:rsid w:val="00AD2679"/>
    <w:rsid w:val="00AD2C6C"/>
    <w:rsid w:val="00AD2FB6"/>
    <w:rsid w:val="00AD33F2"/>
    <w:rsid w:val="00AD38E2"/>
    <w:rsid w:val="00AD3C02"/>
    <w:rsid w:val="00AD3F94"/>
    <w:rsid w:val="00AD4215"/>
    <w:rsid w:val="00AD4411"/>
    <w:rsid w:val="00AD46E0"/>
    <w:rsid w:val="00AD4807"/>
    <w:rsid w:val="00AD4A5A"/>
    <w:rsid w:val="00AD5485"/>
    <w:rsid w:val="00AD5BD4"/>
    <w:rsid w:val="00AD5BF8"/>
    <w:rsid w:val="00AD5DD7"/>
    <w:rsid w:val="00AD616E"/>
    <w:rsid w:val="00AD7421"/>
    <w:rsid w:val="00AD7F8A"/>
    <w:rsid w:val="00AE0591"/>
    <w:rsid w:val="00AE0EC7"/>
    <w:rsid w:val="00AE1366"/>
    <w:rsid w:val="00AE1620"/>
    <w:rsid w:val="00AE1BE4"/>
    <w:rsid w:val="00AE2177"/>
    <w:rsid w:val="00AE22CA"/>
    <w:rsid w:val="00AE2773"/>
    <w:rsid w:val="00AE27AC"/>
    <w:rsid w:val="00AE298B"/>
    <w:rsid w:val="00AE347C"/>
    <w:rsid w:val="00AE40E0"/>
    <w:rsid w:val="00AE4434"/>
    <w:rsid w:val="00AE46B9"/>
    <w:rsid w:val="00AE480D"/>
    <w:rsid w:val="00AE4DBA"/>
    <w:rsid w:val="00AE4F07"/>
    <w:rsid w:val="00AE6290"/>
    <w:rsid w:val="00AE6E5D"/>
    <w:rsid w:val="00AE757B"/>
    <w:rsid w:val="00AE7E8B"/>
    <w:rsid w:val="00AF097F"/>
    <w:rsid w:val="00AF09E3"/>
    <w:rsid w:val="00AF0E0B"/>
    <w:rsid w:val="00AF15B2"/>
    <w:rsid w:val="00AF16A3"/>
    <w:rsid w:val="00AF1C5D"/>
    <w:rsid w:val="00AF1DA1"/>
    <w:rsid w:val="00AF2255"/>
    <w:rsid w:val="00AF263B"/>
    <w:rsid w:val="00AF2F80"/>
    <w:rsid w:val="00AF331B"/>
    <w:rsid w:val="00AF3E10"/>
    <w:rsid w:val="00AF42D7"/>
    <w:rsid w:val="00AF4C0A"/>
    <w:rsid w:val="00AF4C3D"/>
    <w:rsid w:val="00AF58F2"/>
    <w:rsid w:val="00AF595D"/>
    <w:rsid w:val="00AF5E20"/>
    <w:rsid w:val="00AF6F43"/>
    <w:rsid w:val="00AF7F74"/>
    <w:rsid w:val="00B006FE"/>
    <w:rsid w:val="00B007CB"/>
    <w:rsid w:val="00B01ABA"/>
    <w:rsid w:val="00B02294"/>
    <w:rsid w:val="00B02AA9"/>
    <w:rsid w:val="00B02B43"/>
    <w:rsid w:val="00B02FA3"/>
    <w:rsid w:val="00B02FD0"/>
    <w:rsid w:val="00B0455C"/>
    <w:rsid w:val="00B047D3"/>
    <w:rsid w:val="00B05084"/>
    <w:rsid w:val="00B0571D"/>
    <w:rsid w:val="00B06F73"/>
    <w:rsid w:val="00B06FEF"/>
    <w:rsid w:val="00B0750B"/>
    <w:rsid w:val="00B07A07"/>
    <w:rsid w:val="00B10894"/>
    <w:rsid w:val="00B1097C"/>
    <w:rsid w:val="00B11AD0"/>
    <w:rsid w:val="00B12529"/>
    <w:rsid w:val="00B12A9B"/>
    <w:rsid w:val="00B12B4F"/>
    <w:rsid w:val="00B13221"/>
    <w:rsid w:val="00B13249"/>
    <w:rsid w:val="00B1370B"/>
    <w:rsid w:val="00B1407B"/>
    <w:rsid w:val="00B14196"/>
    <w:rsid w:val="00B14B87"/>
    <w:rsid w:val="00B151F2"/>
    <w:rsid w:val="00B157F9"/>
    <w:rsid w:val="00B15A8D"/>
    <w:rsid w:val="00B1637B"/>
    <w:rsid w:val="00B16B66"/>
    <w:rsid w:val="00B17999"/>
    <w:rsid w:val="00B200C0"/>
    <w:rsid w:val="00B20256"/>
    <w:rsid w:val="00B20285"/>
    <w:rsid w:val="00B209DF"/>
    <w:rsid w:val="00B20D09"/>
    <w:rsid w:val="00B212A6"/>
    <w:rsid w:val="00B21539"/>
    <w:rsid w:val="00B21F7A"/>
    <w:rsid w:val="00B22177"/>
    <w:rsid w:val="00B2255B"/>
    <w:rsid w:val="00B22850"/>
    <w:rsid w:val="00B22956"/>
    <w:rsid w:val="00B2390A"/>
    <w:rsid w:val="00B23C02"/>
    <w:rsid w:val="00B24382"/>
    <w:rsid w:val="00B2442F"/>
    <w:rsid w:val="00B2450E"/>
    <w:rsid w:val="00B25C1D"/>
    <w:rsid w:val="00B25E72"/>
    <w:rsid w:val="00B266DF"/>
    <w:rsid w:val="00B269EE"/>
    <w:rsid w:val="00B26E30"/>
    <w:rsid w:val="00B272EB"/>
    <w:rsid w:val="00B2763F"/>
    <w:rsid w:val="00B27AAC"/>
    <w:rsid w:val="00B30817"/>
    <w:rsid w:val="00B308A7"/>
    <w:rsid w:val="00B30929"/>
    <w:rsid w:val="00B30A17"/>
    <w:rsid w:val="00B30DEE"/>
    <w:rsid w:val="00B31710"/>
    <w:rsid w:val="00B31CA2"/>
    <w:rsid w:val="00B333CC"/>
    <w:rsid w:val="00B34939"/>
    <w:rsid w:val="00B34CA8"/>
    <w:rsid w:val="00B34DF1"/>
    <w:rsid w:val="00B35304"/>
    <w:rsid w:val="00B355FC"/>
    <w:rsid w:val="00B36D73"/>
    <w:rsid w:val="00B36D7A"/>
    <w:rsid w:val="00B372AA"/>
    <w:rsid w:val="00B37744"/>
    <w:rsid w:val="00B37F45"/>
    <w:rsid w:val="00B400B7"/>
    <w:rsid w:val="00B40445"/>
    <w:rsid w:val="00B409E0"/>
    <w:rsid w:val="00B410F6"/>
    <w:rsid w:val="00B41888"/>
    <w:rsid w:val="00B41E36"/>
    <w:rsid w:val="00B41F2F"/>
    <w:rsid w:val="00B41F41"/>
    <w:rsid w:val="00B427FC"/>
    <w:rsid w:val="00B43FA7"/>
    <w:rsid w:val="00B440BB"/>
    <w:rsid w:val="00B444C3"/>
    <w:rsid w:val="00B446D0"/>
    <w:rsid w:val="00B44932"/>
    <w:rsid w:val="00B44C25"/>
    <w:rsid w:val="00B4509A"/>
    <w:rsid w:val="00B455F2"/>
    <w:rsid w:val="00B45607"/>
    <w:rsid w:val="00B45A52"/>
    <w:rsid w:val="00B45A91"/>
    <w:rsid w:val="00B45B04"/>
    <w:rsid w:val="00B46175"/>
    <w:rsid w:val="00B50CD4"/>
    <w:rsid w:val="00B5180D"/>
    <w:rsid w:val="00B51AC4"/>
    <w:rsid w:val="00B52562"/>
    <w:rsid w:val="00B52689"/>
    <w:rsid w:val="00B52881"/>
    <w:rsid w:val="00B52882"/>
    <w:rsid w:val="00B52A6F"/>
    <w:rsid w:val="00B52AE2"/>
    <w:rsid w:val="00B53E25"/>
    <w:rsid w:val="00B54546"/>
    <w:rsid w:val="00B548B7"/>
    <w:rsid w:val="00B54BC3"/>
    <w:rsid w:val="00B558BF"/>
    <w:rsid w:val="00B559D4"/>
    <w:rsid w:val="00B56152"/>
    <w:rsid w:val="00B56226"/>
    <w:rsid w:val="00B5687E"/>
    <w:rsid w:val="00B56C02"/>
    <w:rsid w:val="00B56C7B"/>
    <w:rsid w:val="00B56E61"/>
    <w:rsid w:val="00B6120C"/>
    <w:rsid w:val="00B617E0"/>
    <w:rsid w:val="00B61AB4"/>
    <w:rsid w:val="00B61EFF"/>
    <w:rsid w:val="00B6238C"/>
    <w:rsid w:val="00B6269D"/>
    <w:rsid w:val="00B63F2F"/>
    <w:rsid w:val="00B642C9"/>
    <w:rsid w:val="00B65287"/>
    <w:rsid w:val="00B664C7"/>
    <w:rsid w:val="00B66A73"/>
    <w:rsid w:val="00B67052"/>
    <w:rsid w:val="00B67E64"/>
    <w:rsid w:val="00B714E3"/>
    <w:rsid w:val="00B71E67"/>
    <w:rsid w:val="00B72515"/>
    <w:rsid w:val="00B73031"/>
    <w:rsid w:val="00B734D5"/>
    <w:rsid w:val="00B736FD"/>
    <w:rsid w:val="00B739F6"/>
    <w:rsid w:val="00B73C79"/>
    <w:rsid w:val="00B73E2C"/>
    <w:rsid w:val="00B74DA2"/>
    <w:rsid w:val="00B75B11"/>
    <w:rsid w:val="00B7605B"/>
    <w:rsid w:val="00B76681"/>
    <w:rsid w:val="00B801C9"/>
    <w:rsid w:val="00B80385"/>
    <w:rsid w:val="00B80628"/>
    <w:rsid w:val="00B80EC9"/>
    <w:rsid w:val="00B8188C"/>
    <w:rsid w:val="00B81A6C"/>
    <w:rsid w:val="00B8252B"/>
    <w:rsid w:val="00B82727"/>
    <w:rsid w:val="00B838CF"/>
    <w:rsid w:val="00B839F3"/>
    <w:rsid w:val="00B84DF3"/>
    <w:rsid w:val="00B85796"/>
    <w:rsid w:val="00B857BA"/>
    <w:rsid w:val="00B85A00"/>
    <w:rsid w:val="00B85DE5"/>
    <w:rsid w:val="00B85F68"/>
    <w:rsid w:val="00B86B13"/>
    <w:rsid w:val="00B86E06"/>
    <w:rsid w:val="00B90439"/>
    <w:rsid w:val="00B9083C"/>
    <w:rsid w:val="00B90C44"/>
    <w:rsid w:val="00B90F18"/>
    <w:rsid w:val="00B90F73"/>
    <w:rsid w:val="00B91954"/>
    <w:rsid w:val="00B91F7B"/>
    <w:rsid w:val="00B92282"/>
    <w:rsid w:val="00B93320"/>
    <w:rsid w:val="00B936E8"/>
    <w:rsid w:val="00B93B59"/>
    <w:rsid w:val="00B93D2A"/>
    <w:rsid w:val="00B9406A"/>
    <w:rsid w:val="00B941B3"/>
    <w:rsid w:val="00B94B68"/>
    <w:rsid w:val="00B95007"/>
    <w:rsid w:val="00B95350"/>
    <w:rsid w:val="00B97F3F"/>
    <w:rsid w:val="00BA079B"/>
    <w:rsid w:val="00BA1E47"/>
    <w:rsid w:val="00BA21A9"/>
    <w:rsid w:val="00BA2280"/>
    <w:rsid w:val="00BA23A5"/>
    <w:rsid w:val="00BA24FF"/>
    <w:rsid w:val="00BA26EE"/>
    <w:rsid w:val="00BA2A08"/>
    <w:rsid w:val="00BA3A38"/>
    <w:rsid w:val="00BA3DBC"/>
    <w:rsid w:val="00BA4916"/>
    <w:rsid w:val="00BA56D2"/>
    <w:rsid w:val="00BA5703"/>
    <w:rsid w:val="00BA5859"/>
    <w:rsid w:val="00BA61F0"/>
    <w:rsid w:val="00BA6311"/>
    <w:rsid w:val="00BA6C5C"/>
    <w:rsid w:val="00BA76E0"/>
    <w:rsid w:val="00BB0233"/>
    <w:rsid w:val="00BB0642"/>
    <w:rsid w:val="00BB0660"/>
    <w:rsid w:val="00BB0FDD"/>
    <w:rsid w:val="00BB1931"/>
    <w:rsid w:val="00BB254A"/>
    <w:rsid w:val="00BB2A25"/>
    <w:rsid w:val="00BB3D8B"/>
    <w:rsid w:val="00BB474F"/>
    <w:rsid w:val="00BB51E9"/>
    <w:rsid w:val="00BB52B0"/>
    <w:rsid w:val="00BB5E18"/>
    <w:rsid w:val="00BB6830"/>
    <w:rsid w:val="00BB68AC"/>
    <w:rsid w:val="00BB7ABD"/>
    <w:rsid w:val="00BB7E9C"/>
    <w:rsid w:val="00BC0E6F"/>
    <w:rsid w:val="00BC0FDC"/>
    <w:rsid w:val="00BC3053"/>
    <w:rsid w:val="00BC310F"/>
    <w:rsid w:val="00BC3A19"/>
    <w:rsid w:val="00BC3E20"/>
    <w:rsid w:val="00BC4C9D"/>
    <w:rsid w:val="00BC4CFE"/>
    <w:rsid w:val="00BC4D2E"/>
    <w:rsid w:val="00BC4DE3"/>
    <w:rsid w:val="00BC5803"/>
    <w:rsid w:val="00BC58EF"/>
    <w:rsid w:val="00BC595A"/>
    <w:rsid w:val="00BC5A1F"/>
    <w:rsid w:val="00BC6374"/>
    <w:rsid w:val="00BC6D89"/>
    <w:rsid w:val="00BC72C1"/>
    <w:rsid w:val="00BC7784"/>
    <w:rsid w:val="00BD0F82"/>
    <w:rsid w:val="00BD1F95"/>
    <w:rsid w:val="00BD24E7"/>
    <w:rsid w:val="00BD2CFD"/>
    <w:rsid w:val="00BD2E8F"/>
    <w:rsid w:val="00BD36AE"/>
    <w:rsid w:val="00BD3A66"/>
    <w:rsid w:val="00BD3ACD"/>
    <w:rsid w:val="00BD4328"/>
    <w:rsid w:val="00BD4634"/>
    <w:rsid w:val="00BD48AC"/>
    <w:rsid w:val="00BD5F1A"/>
    <w:rsid w:val="00BD60B0"/>
    <w:rsid w:val="00BD6B89"/>
    <w:rsid w:val="00BD6BC4"/>
    <w:rsid w:val="00BD713D"/>
    <w:rsid w:val="00BD7651"/>
    <w:rsid w:val="00BD7669"/>
    <w:rsid w:val="00BD76C9"/>
    <w:rsid w:val="00BD7BD0"/>
    <w:rsid w:val="00BE00D2"/>
    <w:rsid w:val="00BE01C5"/>
    <w:rsid w:val="00BE0E2A"/>
    <w:rsid w:val="00BE1234"/>
    <w:rsid w:val="00BE1431"/>
    <w:rsid w:val="00BE1780"/>
    <w:rsid w:val="00BE1947"/>
    <w:rsid w:val="00BE1966"/>
    <w:rsid w:val="00BE2006"/>
    <w:rsid w:val="00BE2436"/>
    <w:rsid w:val="00BE2A41"/>
    <w:rsid w:val="00BE2FA6"/>
    <w:rsid w:val="00BE333F"/>
    <w:rsid w:val="00BE3507"/>
    <w:rsid w:val="00BE3957"/>
    <w:rsid w:val="00BE4191"/>
    <w:rsid w:val="00BE4BA4"/>
    <w:rsid w:val="00BE4EF2"/>
    <w:rsid w:val="00BE5122"/>
    <w:rsid w:val="00BE5DE4"/>
    <w:rsid w:val="00BE6604"/>
    <w:rsid w:val="00BE68D0"/>
    <w:rsid w:val="00BE6E86"/>
    <w:rsid w:val="00BE7406"/>
    <w:rsid w:val="00BE7603"/>
    <w:rsid w:val="00BF08B7"/>
    <w:rsid w:val="00BF1051"/>
    <w:rsid w:val="00BF17E5"/>
    <w:rsid w:val="00BF1BF7"/>
    <w:rsid w:val="00BF217F"/>
    <w:rsid w:val="00BF21F8"/>
    <w:rsid w:val="00BF2659"/>
    <w:rsid w:val="00BF3279"/>
    <w:rsid w:val="00BF3A3D"/>
    <w:rsid w:val="00BF3D5A"/>
    <w:rsid w:val="00BF42D1"/>
    <w:rsid w:val="00BF4334"/>
    <w:rsid w:val="00BF4E8F"/>
    <w:rsid w:val="00BF514B"/>
    <w:rsid w:val="00BF5354"/>
    <w:rsid w:val="00BF64EB"/>
    <w:rsid w:val="00BF6E60"/>
    <w:rsid w:val="00BF7266"/>
    <w:rsid w:val="00BF74C7"/>
    <w:rsid w:val="00BF750D"/>
    <w:rsid w:val="00BF7F03"/>
    <w:rsid w:val="00C009CD"/>
    <w:rsid w:val="00C01475"/>
    <w:rsid w:val="00C015F1"/>
    <w:rsid w:val="00C016D9"/>
    <w:rsid w:val="00C017C2"/>
    <w:rsid w:val="00C0180E"/>
    <w:rsid w:val="00C01949"/>
    <w:rsid w:val="00C01CD8"/>
    <w:rsid w:val="00C01F33"/>
    <w:rsid w:val="00C026CF"/>
    <w:rsid w:val="00C02CC6"/>
    <w:rsid w:val="00C030F7"/>
    <w:rsid w:val="00C0352D"/>
    <w:rsid w:val="00C0398F"/>
    <w:rsid w:val="00C040F7"/>
    <w:rsid w:val="00C042B4"/>
    <w:rsid w:val="00C044AB"/>
    <w:rsid w:val="00C04B69"/>
    <w:rsid w:val="00C04FBF"/>
    <w:rsid w:val="00C0526B"/>
    <w:rsid w:val="00C05706"/>
    <w:rsid w:val="00C057E5"/>
    <w:rsid w:val="00C0607E"/>
    <w:rsid w:val="00C062CC"/>
    <w:rsid w:val="00C06932"/>
    <w:rsid w:val="00C07377"/>
    <w:rsid w:val="00C0743A"/>
    <w:rsid w:val="00C07DAA"/>
    <w:rsid w:val="00C10478"/>
    <w:rsid w:val="00C1190E"/>
    <w:rsid w:val="00C12107"/>
    <w:rsid w:val="00C13643"/>
    <w:rsid w:val="00C14D4B"/>
    <w:rsid w:val="00C154BB"/>
    <w:rsid w:val="00C15504"/>
    <w:rsid w:val="00C15A91"/>
    <w:rsid w:val="00C15ADB"/>
    <w:rsid w:val="00C160B2"/>
    <w:rsid w:val="00C165DF"/>
    <w:rsid w:val="00C17993"/>
    <w:rsid w:val="00C2132E"/>
    <w:rsid w:val="00C218D6"/>
    <w:rsid w:val="00C21EFE"/>
    <w:rsid w:val="00C22F66"/>
    <w:rsid w:val="00C23264"/>
    <w:rsid w:val="00C23867"/>
    <w:rsid w:val="00C24329"/>
    <w:rsid w:val="00C2461F"/>
    <w:rsid w:val="00C24B09"/>
    <w:rsid w:val="00C24BDA"/>
    <w:rsid w:val="00C25408"/>
    <w:rsid w:val="00C25554"/>
    <w:rsid w:val="00C25751"/>
    <w:rsid w:val="00C2636D"/>
    <w:rsid w:val="00C2645D"/>
    <w:rsid w:val="00C26A78"/>
    <w:rsid w:val="00C27242"/>
    <w:rsid w:val="00C27259"/>
    <w:rsid w:val="00C279B5"/>
    <w:rsid w:val="00C27C45"/>
    <w:rsid w:val="00C27D6B"/>
    <w:rsid w:val="00C301B0"/>
    <w:rsid w:val="00C31578"/>
    <w:rsid w:val="00C3222A"/>
    <w:rsid w:val="00C33F82"/>
    <w:rsid w:val="00C340F5"/>
    <w:rsid w:val="00C3497D"/>
    <w:rsid w:val="00C35DB8"/>
    <w:rsid w:val="00C36FAD"/>
    <w:rsid w:val="00C370A8"/>
    <w:rsid w:val="00C3719D"/>
    <w:rsid w:val="00C378C7"/>
    <w:rsid w:val="00C37CB2"/>
    <w:rsid w:val="00C37F97"/>
    <w:rsid w:val="00C40800"/>
    <w:rsid w:val="00C42465"/>
    <w:rsid w:val="00C4293F"/>
    <w:rsid w:val="00C43188"/>
    <w:rsid w:val="00C43813"/>
    <w:rsid w:val="00C445BE"/>
    <w:rsid w:val="00C44D28"/>
    <w:rsid w:val="00C450A5"/>
    <w:rsid w:val="00C45EEC"/>
    <w:rsid w:val="00C4666C"/>
    <w:rsid w:val="00C46E6C"/>
    <w:rsid w:val="00C473A5"/>
    <w:rsid w:val="00C50F06"/>
    <w:rsid w:val="00C50F4E"/>
    <w:rsid w:val="00C5128D"/>
    <w:rsid w:val="00C51EFB"/>
    <w:rsid w:val="00C52E05"/>
    <w:rsid w:val="00C5312E"/>
    <w:rsid w:val="00C533B2"/>
    <w:rsid w:val="00C542A0"/>
    <w:rsid w:val="00C54710"/>
    <w:rsid w:val="00C54995"/>
    <w:rsid w:val="00C54C4D"/>
    <w:rsid w:val="00C54D41"/>
    <w:rsid w:val="00C54DC8"/>
    <w:rsid w:val="00C5541A"/>
    <w:rsid w:val="00C55CF0"/>
    <w:rsid w:val="00C56080"/>
    <w:rsid w:val="00C5671F"/>
    <w:rsid w:val="00C56848"/>
    <w:rsid w:val="00C56BB3"/>
    <w:rsid w:val="00C56EF3"/>
    <w:rsid w:val="00C574B9"/>
    <w:rsid w:val="00C57506"/>
    <w:rsid w:val="00C579B3"/>
    <w:rsid w:val="00C60783"/>
    <w:rsid w:val="00C6101C"/>
    <w:rsid w:val="00C61221"/>
    <w:rsid w:val="00C61371"/>
    <w:rsid w:val="00C619DA"/>
    <w:rsid w:val="00C622DF"/>
    <w:rsid w:val="00C623C5"/>
    <w:rsid w:val="00C627DA"/>
    <w:rsid w:val="00C628D1"/>
    <w:rsid w:val="00C62B8D"/>
    <w:rsid w:val="00C63024"/>
    <w:rsid w:val="00C63931"/>
    <w:rsid w:val="00C63E69"/>
    <w:rsid w:val="00C64310"/>
    <w:rsid w:val="00C64672"/>
    <w:rsid w:val="00C65F1E"/>
    <w:rsid w:val="00C66D7F"/>
    <w:rsid w:val="00C67E49"/>
    <w:rsid w:val="00C700AF"/>
    <w:rsid w:val="00C70697"/>
    <w:rsid w:val="00C72093"/>
    <w:rsid w:val="00C72EF4"/>
    <w:rsid w:val="00C744FE"/>
    <w:rsid w:val="00C746AB"/>
    <w:rsid w:val="00C74848"/>
    <w:rsid w:val="00C74911"/>
    <w:rsid w:val="00C74A7D"/>
    <w:rsid w:val="00C75A5C"/>
    <w:rsid w:val="00C75D2F"/>
    <w:rsid w:val="00C75E10"/>
    <w:rsid w:val="00C76395"/>
    <w:rsid w:val="00C767BE"/>
    <w:rsid w:val="00C76A57"/>
    <w:rsid w:val="00C76B68"/>
    <w:rsid w:val="00C76BDE"/>
    <w:rsid w:val="00C76E3C"/>
    <w:rsid w:val="00C804FB"/>
    <w:rsid w:val="00C80A8C"/>
    <w:rsid w:val="00C80BD6"/>
    <w:rsid w:val="00C81568"/>
    <w:rsid w:val="00C81956"/>
    <w:rsid w:val="00C81C07"/>
    <w:rsid w:val="00C8244C"/>
    <w:rsid w:val="00C834D7"/>
    <w:rsid w:val="00C83793"/>
    <w:rsid w:val="00C838B5"/>
    <w:rsid w:val="00C83DAE"/>
    <w:rsid w:val="00C83DD7"/>
    <w:rsid w:val="00C84011"/>
    <w:rsid w:val="00C86282"/>
    <w:rsid w:val="00C862F8"/>
    <w:rsid w:val="00C86553"/>
    <w:rsid w:val="00C86E47"/>
    <w:rsid w:val="00C9027A"/>
    <w:rsid w:val="00C9058C"/>
    <w:rsid w:val="00C9068E"/>
    <w:rsid w:val="00C908FC"/>
    <w:rsid w:val="00C909AB"/>
    <w:rsid w:val="00C90E26"/>
    <w:rsid w:val="00C91561"/>
    <w:rsid w:val="00C9189A"/>
    <w:rsid w:val="00C9249E"/>
    <w:rsid w:val="00C9308B"/>
    <w:rsid w:val="00C93294"/>
    <w:rsid w:val="00C93814"/>
    <w:rsid w:val="00C93C4B"/>
    <w:rsid w:val="00C93D68"/>
    <w:rsid w:val="00C941AC"/>
    <w:rsid w:val="00C944AB"/>
    <w:rsid w:val="00C94C13"/>
    <w:rsid w:val="00C94CB0"/>
    <w:rsid w:val="00C94ED0"/>
    <w:rsid w:val="00C9538C"/>
    <w:rsid w:val="00C95B40"/>
    <w:rsid w:val="00C95DAB"/>
    <w:rsid w:val="00C96CCE"/>
    <w:rsid w:val="00C97129"/>
    <w:rsid w:val="00C975FA"/>
    <w:rsid w:val="00C97B29"/>
    <w:rsid w:val="00CA0100"/>
    <w:rsid w:val="00CA090F"/>
    <w:rsid w:val="00CA1467"/>
    <w:rsid w:val="00CA1ED8"/>
    <w:rsid w:val="00CA25BA"/>
    <w:rsid w:val="00CA34E2"/>
    <w:rsid w:val="00CA3749"/>
    <w:rsid w:val="00CA39A2"/>
    <w:rsid w:val="00CA3DE9"/>
    <w:rsid w:val="00CA3FFA"/>
    <w:rsid w:val="00CA43F2"/>
    <w:rsid w:val="00CA4708"/>
    <w:rsid w:val="00CA4944"/>
    <w:rsid w:val="00CA495D"/>
    <w:rsid w:val="00CA5626"/>
    <w:rsid w:val="00CA5871"/>
    <w:rsid w:val="00CA5C23"/>
    <w:rsid w:val="00CA63BF"/>
    <w:rsid w:val="00CA694C"/>
    <w:rsid w:val="00CA6BCF"/>
    <w:rsid w:val="00CA6EA4"/>
    <w:rsid w:val="00CA70A3"/>
    <w:rsid w:val="00CB1808"/>
    <w:rsid w:val="00CB18CE"/>
    <w:rsid w:val="00CB1906"/>
    <w:rsid w:val="00CB1995"/>
    <w:rsid w:val="00CB1F63"/>
    <w:rsid w:val="00CB271E"/>
    <w:rsid w:val="00CB2D0F"/>
    <w:rsid w:val="00CB322D"/>
    <w:rsid w:val="00CB3A0C"/>
    <w:rsid w:val="00CB3B8D"/>
    <w:rsid w:val="00CB4835"/>
    <w:rsid w:val="00CB4A0A"/>
    <w:rsid w:val="00CB4D1D"/>
    <w:rsid w:val="00CB53CE"/>
    <w:rsid w:val="00CB5A82"/>
    <w:rsid w:val="00CB63D1"/>
    <w:rsid w:val="00CB7170"/>
    <w:rsid w:val="00CC040E"/>
    <w:rsid w:val="00CC0A43"/>
    <w:rsid w:val="00CC0ACB"/>
    <w:rsid w:val="00CC0E1F"/>
    <w:rsid w:val="00CC111F"/>
    <w:rsid w:val="00CC1625"/>
    <w:rsid w:val="00CC1E05"/>
    <w:rsid w:val="00CC1E59"/>
    <w:rsid w:val="00CC2011"/>
    <w:rsid w:val="00CC26FA"/>
    <w:rsid w:val="00CC2A02"/>
    <w:rsid w:val="00CC2D7F"/>
    <w:rsid w:val="00CC333D"/>
    <w:rsid w:val="00CC3602"/>
    <w:rsid w:val="00CC3742"/>
    <w:rsid w:val="00CC3BD1"/>
    <w:rsid w:val="00CC3EA0"/>
    <w:rsid w:val="00CC44AA"/>
    <w:rsid w:val="00CC5481"/>
    <w:rsid w:val="00CC556C"/>
    <w:rsid w:val="00CC6AB6"/>
    <w:rsid w:val="00CC6EBD"/>
    <w:rsid w:val="00CC7A31"/>
    <w:rsid w:val="00CC7B45"/>
    <w:rsid w:val="00CC7DDB"/>
    <w:rsid w:val="00CD0945"/>
    <w:rsid w:val="00CD0BC5"/>
    <w:rsid w:val="00CD0BE9"/>
    <w:rsid w:val="00CD0E3C"/>
    <w:rsid w:val="00CD0ECD"/>
    <w:rsid w:val="00CD0F5A"/>
    <w:rsid w:val="00CD1188"/>
    <w:rsid w:val="00CD1579"/>
    <w:rsid w:val="00CD1D7F"/>
    <w:rsid w:val="00CD2ED1"/>
    <w:rsid w:val="00CD31EE"/>
    <w:rsid w:val="00CD337B"/>
    <w:rsid w:val="00CD41B1"/>
    <w:rsid w:val="00CD439B"/>
    <w:rsid w:val="00CD4933"/>
    <w:rsid w:val="00CD4FD0"/>
    <w:rsid w:val="00CD545D"/>
    <w:rsid w:val="00CD5FB3"/>
    <w:rsid w:val="00CD5FF9"/>
    <w:rsid w:val="00CD6C3F"/>
    <w:rsid w:val="00CD6EB7"/>
    <w:rsid w:val="00CE0424"/>
    <w:rsid w:val="00CE15B4"/>
    <w:rsid w:val="00CE1862"/>
    <w:rsid w:val="00CE1C75"/>
    <w:rsid w:val="00CE2B99"/>
    <w:rsid w:val="00CE4055"/>
    <w:rsid w:val="00CE4F86"/>
    <w:rsid w:val="00CE5BAE"/>
    <w:rsid w:val="00CE66D2"/>
    <w:rsid w:val="00CE72B1"/>
    <w:rsid w:val="00CE7561"/>
    <w:rsid w:val="00CE796C"/>
    <w:rsid w:val="00CF1354"/>
    <w:rsid w:val="00CF14EA"/>
    <w:rsid w:val="00CF1C23"/>
    <w:rsid w:val="00CF316C"/>
    <w:rsid w:val="00CF32EA"/>
    <w:rsid w:val="00CF34D4"/>
    <w:rsid w:val="00CF38AB"/>
    <w:rsid w:val="00CF3B1F"/>
    <w:rsid w:val="00CF3BF6"/>
    <w:rsid w:val="00CF43D1"/>
    <w:rsid w:val="00CF525C"/>
    <w:rsid w:val="00CF582A"/>
    <w:rsid w:val="00CF621F"/>
    <w:rsid w:val="00CF625B"/>
    <w:rsid w:val="00CF687E"/>
    <w:rsid w:val="00CF6A5C"/>
    <w:rsid w:val="00CF7668"/>
    <w:rsid w:val="00CF7B8F"/>
    <w:rsid w:val="00CF7E97"/>
    <w:rsid w:val="00D00463"/>
    <w:rsid w:val="00D009F4"/>
    <w:rsid w:val="00D00D16"/>
    <w:rsid w:val="00D0222D"/>
    <w:rsid w:val="00D023AC"/>
    <w:rsid w:val="00D0349B"/>
    <w:rsid w:val="00D036B0"/>
    <w:rsid w:val="00D03E72"/>
    <w:rsid w:val="00D044EF"/>
    <w:rsid w:val="00D04779"/>
    <w:rsid w:val="00D0528E"/>
    <w:rsid w:val="00D05502"/>
    <w:rsid w:val="00D059D3"/>
    <w:rsid w:val="00D05DDC"/>
    <w:rsid w:val="00D0656E"/>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0375"/>
    <w:rsid w:val="00D21558"/>
    <w:rsid w:val="00D21B7C"/>
    <w:rsid w:val="00D22196"/>
    <w:rsid w:val="00D2285D"/>
    <w:rsid w:val="00D22F2A"/>
    <w:rsid w:val="00D2306D"/>
    <w:rsid w:val="00D239A7"/>
    <w:rsid w:val="00D23F47"/>
    <w:rsid w:val="00D24887"/>
    <w:rsid w:val="00D2542B"/>
    <w:rsid w:val="00D259FF"/>
    <w:rsid w:val="00D25CDE"/>
    <w:rsid w:val="00D25F43"/>
    <w:rsid w:val="00D26777"/>
    <w:rsid w:val="00D26888"/>
    <w:rsid w:val="00D2785A"/>
    <w:rsid w:val="00D3125B"/>
    <w:rsid w:val="00D32F11"/>
    <w:rsid w:val="00D3364D"/>
    <w:rsid w:val="00D349A0"/>
    <w:rsid w:val="00D35215"/>
    <w:rsid w:val="00D35518"/>
    <w:rsid w:val="00D35852"/>
    <w:rsid w:val="00D35E60"/>
    <w:rsid w:val="00D36E71"/>
    <w:rsid w:val="00D376CE"/>
    <w:rsid w:val="00D37C25"/>
    <w:rsid w:val="00D37D87"/>
    <w:rsid w:val="00D40B33"/>
    <w:rsid w:val="00D42372"/>
    <w:rsid w:val="00D42B82"/>
    <w:rsid w:val="00D42D08"/>
    <w:rsid w:val="00D4318F"/>
    <w:rsid w:val="00D438BF"/>
    <w:rsid w:val="00D439D3"/>
    <w:rsid w:val="00D43D5A"/>
    <w:rsid w:val="00D440F8"/>
    <w:rsid w:val="00D44BF6"/>
    <w:rsid w:val="00D44F9B"/>
    <w:rsid w:val="00D45247"/>
    <w:rsid w:val="00D453D6"/>
    <w:rsid w:val="00D458DE"/>
    <w:rsid w:val="00D45D88"/>
    <w:rsid w:val="00D45F46"/>
    <w:rsid w:val="00D46BE9"/>
    <w:rsid w:val="00D46DD7"/>
    <w:rsid w:val="00D47A1C"/>
    <w:rsid w:val="00D47E64"/>
    <w:rsid w:val="00D5069C"/>
    <w:rsid w:val="00D51967"/>
    <w:rsid w:val="00D53DF3"/>
    <w:rsid w:val="00D546FF"/>
    <w:rsid w:val="00D550EA"/>
    <w:rsid w:val="00D55144"/>
    <w:rsid w:val="00D5572C"/>
    <w:rsid w:val="00D55AD5"/>
    <w:rsid w:val="00D5737D"/>
    <w:rsid w:val="00D576CA"/>
    <w:rsid w:val="00D60584"/>
    <w:rsid w:val="00D607BF"/>
    <w:rsid w:val="00D6145B"/>
    <w:rsid w:val="00D6169D"/>
    <w:rsid w:val="00D61AF5"/>
    <w:rsid w:val="00D61BEC"/>
    <w:rsid w:val="00D61CEB"/>
    <w:rsid w:val="00D61E01"/>
    <w:rsid w:val="00D624E8"/>
    <w:rsid w:val="00D62B20"/>
    <w:rsid w:val="00D6306F"/>
    <w:rsid w:val="00D636B1"/>
    <w:rsid w:val="00D652B5"/>
    <w:rsid w:val="00D65314"/>
    <w:rsid w:val="00D6565A"/>
    <w:rsid w:val="00D65CD4"/>
    <w:rsid w:val="00D66155"/>
    <w:rsid w:val="00D661FF"/>
    <w:rsid w:val="00D66DB3"/>
    <w:rsid w:val="00D674CB"/>
    <w:rsid w:val="00D67D20"/>
    <w:rsid w:val="00D704A5"/>
    <w:rsid w:val="00D708B0"/>
    <w:rsid w:val="00D71287"/>
    <w:rsid w:val="00D728EE"/>
    <w:rsid w:val="00D73156"/>
    <w:rsid w:val="00D73238"/>
    <w:rsid w:val="00D73E78"/>
    <w:rsid w:val="00D7408B"/>
    <w:rsid w:val="00D7531F"/>
    <w:rsid w:val="00D753CF"/>
    <w:rsid w:val="00D76009"/>
    <w:rsid w:val="00D764B2"/>
    <w:rsid w:val="00D7696D"/>
    <w:rsid w:val="00D76D3B"/>
    <w:rsid w:val="00D77640"/>
    <w:rsid w:val="00D77B1D"/>
    <w:rsid w:val="00D77CB1"/>
    <w:rsid w:val="00D77EC1"/>
    <w:rsid w:val="00D8021F"/>
    <w:rsid w:val="00D80383"/>
    <w:rsid w:val="00D81570"/>
    <w:rsid w:val="00D81DBA"/>
    <w:rsid w:val="00D8208A"/>
    <w:rsid w:val="00D823C6"/>
    <w:rsid w:val="00D82A9C"/>
    <w:rsid w:val="00D82F75"/>
    <w:rsid w:val="00D8327F"/>
    <w:rsid w:val="00D83DB9"/>
    <w:rsid w:val="00D8496D"/>
    <w:rsid w:val="00D84C54"/>
    <w:rsid w:val="00D854BE"/>
    <w:rsid w:val="00D8553C"/>
    <w:rsid w:val="00D859DE"/>
    <w:rsid w:val="00D86BB2"/>
    <w:rsid w:val="00D86CA3"/>
    <w:rsid w:val="00D86CDB"/>
    <w:rsid w:val="00D87197"/>
    <w:rsid w:val="00D871CE"/>
    <w:rsid w:val="00D872BE"/>
    <w:rsid w:val="00D87A7E"/>
    <w:rsid w:val="00D9196D"/>
    <w:rsid w:val="00D91AE1"/>
    <w:rsid w:val="00D91B33"/>
    <w:rsid w:val="00D92982"/>
    <w:rsid w:val="00D92B6C"/>
    <w:rsid w:val="00D932FD"/>
    <w:rsid w:val="00D938CD"/>
    <w:rsid w:val="00D93A12"/>
    <w:rsid w:val="00D93B17"/>
    <w:rsid w:val="00D94C8C"/>
    <w:rsid w:val="00D95471"/>
    <w:rsid w:val="00D95CE9"/>
    <w:rsid w:val="00D967DE"/>
    <w:rsid w:val="00D97336"/>
    <w:rsid w:val="00D97414"/>
    <w:rsid w:val="00D97F1D"/>
    <w:rsid w:val="00DA0BEF"/>
    <w:rsid w:val="00DA0BFD"/>
    <w:rsid w:val="00DA1608"/>
    <w:rsid w:val="00DA16B7"/>
    <w:rsid w:val="00DA17B8"/>
    <w:rsid w:val="00DA1D8F"/>
    <w:rsid w:val="00DA2601"/>
    <w:rsid w:val="00DA305E"/>
    <w:rsid w:val="00DA35A4"/>
    <w:rsid w:val="00DA4161"/>
    <w:rsid w:val="00DA4B6A"/>
    <w:rsid w:val="00DA51FD"/>
    <w:rsid w:val="00DA5326"/>
    <w:rsid w:val="00DA5417"/>
    <w:rsid w:val="00DA56E8"/>
    <w:rsid w:val="00DA5766"/>
    <w:rsid w:val="00DA5DAB"/>
    <w:rsid w:val="00DA7E97"/>
    <w:rsid w:val="00DB0A9F"/>
    <w:rsid w:val="00DB12F4"/>
    <w:rsid w:val="00DB1C00"/>
    <w:rsid w:val="00DB2AB4"/>
    <w:rsid w:val="00DB2E98"/>
    <w:rsid w:val="00DB377D"/>
    <w:rsid w:val="00DB40D4"/>
    <w:rsid w:val="00DB4749"/>
    <w:rsid w:val="00DB4995"/>
    <w:rsid w:val="00DB4DB1"/>
    <w:rsid w:val="00DB57FB"/>
    <w:rsid w:val="00DB66A4"/>
    <w:rsid w:val="00DB66B9"/>
    <w:rsid w:val="00DB6F06"/>
    <w:rsid w:val="00DB758C"/>
    <w:rsid w:val="00DB7BA5"/>
    <w:rsid w:val="00DC1B39"/>
    <w:rsid w:val="00DC2D36"/>
    <w:rsid w:val="00DC3B00"/>
    <w:rsid w:val="00DC4557"/>
    <w:rsid w:val="00DC53EF"/>
    <w:rsid w:val="00DC5514"/>
    <w:rsid w:val="00DC5AF5"/>
    <w:rsid w:val="00DC69C2"/>
    <w:rsid w:val="00DC6D77"/>
    <w:rsid w:val="00DC7BAC"/>
    <w:rsid w:val="00DD1251"/>
    <w:rsid w:val="00DD139D"/>
    <w:rsid w:val="00DD1BDC"/>
    <w:rsid w:val="00DD261D"/>
    <w:rsid w:val="00DD300C"/>
    <w:rsid w:val="00DD3CB5"/>
    <w:rsid w:val="00DD3D65"/>
    <w:rsid w:val="00DD53D0"/>
    <w:rsid w:val="00DD540A"/>
    <w:rsid w:val="00DD5BE2"/>
    <w:rsid w:val="00DD5C40"/>
    <w:rsid w:val="00DD5CE4"/>
    <w:rsid w:val="00DD6040"/>
    <w:rsid w:val="00DD6A3A"/>
    <w:rsid w:val="00DD766C"/>
    <w:rsid w:val="00DE1D75"/>
    <w:rsid w:val="00DE33FE"/>
    <w:rsid w:val="00DE4216"/>
    <w:rsid w:val="00DE49F4"/>
    <w:rsid w:val="00DE4E32"/>
    <w:rsid w:val="00DE5608"/>
    <w:rsid w:val="00DE58D0"/>
    <w:rsid w:val="00DE654F"/>
    <w:rsid w:val="00DE6BF2"/>
    <w:rsid w:val="00DE6C09"/>
    <w:rsid w:val="00DE6D66"/>
    <w:rsid w:val="00DE7078"/>
    <w:rsid w:val="00DE7BF3"/>
    <w:rsid w:val="00DF02F8"/>
    <w:rsid w:val="00DF0355"/>
    <w:rsid w:val="00DF071C"/>
    <w:rsid w:val="00DF0B4B"/>
    <w:rsid w:val="00DF0B6E"/>
    <w:rsid w:val="00DF0BBE"/>
    <w:rsid w:val="00DF15E0"/>
    <w:rsid w:val="00DF1BB4"/>
    <w:rsid w:val="00DF2084"/>
    <w:rsid w:val="00DF29A9"/>
    <w:rsid w:val="00DF2F68"/>
    <w:rsid w:val="00DF37A0"/>
    <w:rsid w:val="00DF380A"/>
    <w:rsid w:val="00DF487D"/>
    <w:rsid w:val="00DF4ABD"/>
    <w:rsid w:val="00DF4FFA"/>
    <w:rsid w:val="00DF579F"/>
    <w:rsid w:val="00DF642F"/>
    <w:rsid w:val="00DF69C4"/>
    <w:rsid w:val="00DF6BD9"/>
    <w:rsid w:val="00DF7C0F"/>
    <w:rsid w:val="00E0001F"/>
    <w:rsid w:val="00E00063"/>
    <w:rsid w:val="00E008CB"/>
    <w:rsid w:val="00E00BD3"/>
    <w:rsid w:val="00E00CC7"/>
    <w:rsid w:val="00E00CF2"/>
    <w:rsid w:val="00E015A1"/>
    <w:rsid w:val="00E018EE"/>
    <w:rsid w:val="00E02BB2"/>
    <w:rsid w:val="00E02E18"/>
    <w:rsid w:val="00E03EEE"/>
    <w:rsid w:val="00E03F6D"/>
    <w:rsid w:val="00E0406B"/>
    <w:rsid w:val="00E04686"/>
    <w:rsid w:val="00E052FA"/>
    <w:rsid w:val="00E052FD"/>
    <w:rsid w:val="00E05FF6"/>
    <w:rsid w:val="00E063AE"/>
    <w:rsid w:val="00E065A6"/>
    <w:rsid w:val="00E06FD7"/>
    <w:rsid w:val="00E07524"/>
    <w:rsid w:val="00E076DA"/>
    <w:rsid w:val="00E07783"/>
    <w:rsid w:val="00E07862"/>
    <w:rsid w:val="00E07876"/>
    <w:rsid w:val="00E07A18"/>
    <w:rsid w:val="00E10217"/>
    <w:rsid w:val="00E106AB"/>
    <w:rsid w:val="00E110E7"/>
    <w:rsid w:val="00E11582"/>
    <w:rsid w:val="00E1161C"/>
    <w:rsid w:val="00E11931"/>
    <w:rsid w:val="00E11A9C"/>
    <w:rsid w:val="00E11B20"/>
    <w:rsid w:val="00E11C0C"/>
    <w:rsid w:val="00E12E41"/>
    <w:rsid w:val="00E13554"/>
    <w:rsid w:val="00E14A0B"/>
    <w:rsid w:val="00E14DBD"/>
    <w:rsid w:val="00E15307"/>
    <w:rsid w:val="00E159C7"/>
    <w:rsid w:val="00E168DF"/>
    <w:rsid w:val="00E17FA2"/>
    <w:rsid w:val="00E2093E"/>
    <w:rsid w:val="00E20DEC"/>
    <w:rsid w:val="00E215AB"/>
    <w:rsid w:val="00E21A5E"/>
    <w:rsid w:val="00E21F3C"/>
    <w:rsid w:val="00E22330"/>
    <w:rsid w:val="00E23561"/>
    <w:rsid w:val="00E236ED"/>
    <w:rsid w:val="00E2381B"/>
    <w:rsid w:val="00E2562B"/>
    <w:rsid w:val="00E25FF6"/>
    <w:rsid w:val="00E2690D"/>
    <w:rsid w:val="00E269E4"/>
    <w:rsid w:val="00E26D4A"/>
    <w:rsid w:val="00E27020"/>
    <w:rsid w:val="00E27632"/>
    <w:rsid w:val="00E27685"/>
    <w:rsid w:val="00E30717"/>
    <w:rsid w:val="00E308D4"/>
    <w:rsid w:val="00E30B35"/>
    <w:rsid w:val="00E30B5A"/>
    <w:rsid w:val="00E30FA2"/>
    <w:rsid w:val="00E3123D"/>
    <w:rsid w:val="00E31461"/>
    <w:rsid w:val="00E31D43"/>
    <w:rsid w:val="00E32608"/>
    <w:rsid w:val="00E3278D"/>
    <w:rsid w:val="00E34188"/>
    <w:rsid w:val="00E348E5"/>
    <w:rsid w:val="00E34B6E"/>
    <w:rsid w:val="00E34BA5"/>
    <w:rsid w:val="00E34C69"/>
    <w:rsid w:val="00E35559"/>
    <w:rsid w:val="00E36C33"/>
    <w:rsid w:val="00E37149"/>
    <w:rsid w:val="00E3723A"/>
    <w:rsid w:val="00E37860"/>
    <w:rsid w:val="00E37AEC"/>
    <w:rsid w:val="00E37CD7"/>
    <w:rsid w:val="00E40496"/>
    <w:rsid w:val="00E40B4A"/>
    <w:rsid w:val="00E40E48"/>
    <w:rsid w:val="00E41F3F"/>
    <w:rsid w:val="00E420BE"/>
    <w:rsid w:val="00E4260D"/>
    <w:rsid w:val="00E43263"/>
    <w:rsid w:val="00E446F1"/>
    <w:rsid w:val="00E44870"/>
    <w:rsid w:val="00E461EB"/>
    <w:rsid w:val="00E46886"/>
    <w:rsid w:val="00E46B43"/>
    <w:rsid w:val="00E4712D"/>
    <w:rsid w:val="00E473A5"/>
    <w:rsid w:val="00E479C7"/>
    <w:rsid w:val="00E47AEF"/>
    <w:rsid w:val="00E47EDE"/>
    <w:rsid w:val="00E505E9"/>
    <w:rsid w:val="00E50A7F"/>
    <w:rsid w:val="00E51361"/>
    <w:rsid w:val="00E51A03"/>
    <w:rsid w:val="00E51C1E"/>
    <w:rsid w:val="00E526C4"/>
    <w:rsid w:val="00E52E36"/>
    <w:rsid w:val="00E534F4"/>
    <w:rsid w:val="00E53B4B"/>
    <w:rsid w:val="00E53B75"/>
    <w:rsid w:val="00E53CDB"/>
    <w:rsid w:val="00E53CE4"/>
    <w:rsid w:val="00E53F51"/>
    <w:rsid w:val="00E54D7E"/>
    <w:rsid w:val="00E54E3B"/>
    <w:rsid w:val="00E56478"/>
    <w:rsid w:val="00E56899"/>
    <w:rsid w:val="00E568E1"/>
    <w:rsid w:val="00E569C7"/>
    <w:rsid w:val="00E56A9A"/>
    <w:rsid w:val="00E56D10"/>
    <w:rsid w:val="00E57377"/>
    <w:rsid w:val="00E57565"/>
    <w:rsid w:val="00E579A3"/>
    <w:rsid w:val="00E60141"/>
    <w:rsid w:val="00E60321"/>
    <w:rsid w:val="00E60A4E"/>
    <w:rsid w:val="00E615F1"/>
    <w:rsid w:val="00E62388"/>
    <w:rsid w:val="00E62DCF"/>
    <w:rsid w:val="00E63838"/>
    <w:rsid w:val="00E63976"/>
    <w:rsid w:val="00E64434"/>
    <w:rsid w:val="00E64441"/>
    <w:rsid w:val="00E6450A"/>
    <w:rsid w:val="00E64935"/>
    <w:rsid w:val="00E64BDA"/>
    <w:rsid w:val="00E65DE6"/>
    <w:rsid w:val="00E65F0B"/>
    <w:rsid w:val="00E66076"/>
    <w:rsid w:val="00E660DB"/>
    <w:rsid w:val="00E6694C"/>
    <w:rsid w:val="00E675CF"/>
    <w:rsid w:val="00E67A14"/>
    <w:rsid w:val="00E67C51"/>
    <w:rsid w:val="00E7065D"/>
    <w:rsid w:val="00E71447"/>
    <w:rsid w:val="00E724E5"/>
    <w:rsid w:val="00E72E82"/>
    <w:rsid w:val="00E72EFC"/>
    <w:rsid w:val="00E73019"/>
    <w:rsid w:val="00E73082"/>
    <w:rsid w:val="00E75523"/>
    <w:rsid w:val="00E758EC"/>
    <w:rsid w:val="00E76978"/>
    <w:rsid w:val="00E803DD"/>
    <w:rsid w:val="00E8234C"/>
    <w:rsid w:val="00E8274F"/>
    <w:rsid w:val="00E827E0"/>
    <w:rsid w:val="00E82863"/>
    <w:rsid w:val="00E82FEF"/>
    <w:rsid w:val="00E8371B"/>
    <w:rsid w:val="00E83813"/>
    <w:rsid w:val="00E838B0"/>
    <w:rsid w:val="00E83AA9"/>
    <w:rsid w:val="00E84572"/>
    <w:rsid w:val="00E8506C"/>
    <w:rsid w:val="00E85681"/>
    <w:rsid w:val="00E85928"/>
    <w:rsid w:val="00E85AE5"/>
    <w:rsid w:val="00E870D5"/>
    <w:rsid w:val="00E875E6"/>
    <w:rsid w:val="00E87822"/>
    <w:rsid w:val="00E87F5A"/>
    <w:rsid w:val="00E87FA1"/>
    <w:rsid w:val="00E90395"/>
    <w:rsid w:val="00E90E49"/>
    <w:rsid w:val="00E911C6"/>
    <w:rsid w:val="00E917F9"/>
    <w:rsid w:val="00E91866"/>
    <w:rsid w:val="00E923A5"/>
    <w:rsid w:val="00E92482"/>
    <w:rsid w:val="00E9291C"/>
    <w:rsid w:val="00E93596"/>
    <w:rsid w:val="00E938CC"/>
    <w:rsid w:val="00E93FFE"/>
    <w:rsid w:val="00E946D7"/>
    <w:rsid w:val="00E947B0"/>
    <w:rsid w:val="00E94B47"/>
    <w:rsid w:val="00E94F8A"/>
    <w:rsid w:val="00E9522A"/>
    <w:rsid w:val="00E961DE"/>
    <w:rsid w:val="00E96DFD"/>
    <w:rsid w:val="00E97804"/>
    <w:rsid w:val="00EA095E"/>
    <w:rsid w:val="00EA0BA0"/>
    <w:rsid w:val="00EA1885"/>
    <w:rsid w:val="00EA1E42"/>
    <w:rsid w:val="00EA29BC"/>
    <w:rsid w:val="00EA3088"/>
    <w:rsid w:val="00EA3795"/>
    <w:rsid w:val="00EA3B67"/>
    <w:rsid w:val="00EA3DAA"/>
    <w:rsid w:val="00EA49DC"/>
    <w:rsid w:val="00EA4F7C"/>
    <w:rsid w:val="00EA571C"/>
    <w:rsid w:val="00EA57C9"/>
    <w:rsid w:val="00EA5A48"/>
    <w:rsid w:val="00EA5D32"/>
    <w:rsid w:val="00EA617D"/>
    <w:rsid w:val="00EA797A"/>
    <w:rsid w:val="00EA7A41"/>
    <w:rsid w:val="00EB01DF"/>
    <w:rsid w:val="00EB077B"/>
    <w:rsid w:val="00EB0C4D"/>
    <w:rsid w:val="00EB1120"/>
    <w:rsid w:val="00EB11D7"/>
    <w:rsid w:val="00EB40EB"/>
    <w:rsid w:val="00EB4EA2"/>
    <w:rsid w:val="00EB56C3"/>
    <w:rsid w:val="00EC083D"/>
    <w:rsid w:val="00EC0D64"/>
    <w:rsid w:val="00EC1045"/>
    <w:rsid w:val="00EC16B4"/>
    <w:rsid w:val="00EC19C9"/>
    <w:rsid w:val="00EC2066"/>
    <w:rsid w:val="00EC24D5"/>
    <w:rsid w:val="00EC27C6"/>
    <w:rsid w:val="00EC2C25"/>
    <w:rsid w:val="00EC2DF7"/>
    <w:rsid w:val="00EC36EC"/>
    <w:rsid w:val="00EC4207"/>
    <w:rsid w:val="00EC4447"/>
    <w:rsid w:val="00EC49E6"/>
    <w:rsid w:val="00EC5653"/>
    <w:rsid w:val="00EC568E"/>
    <w:rsid w:val="00EC5F82"/>
    <w:rsid w:val="00EC6643"/>
    <w:rsid w:val="00EC6AA0"/>
    <w:rsid w:val="00EC6C7F"/>
    <w:rsid w:val="00EC6E03"/>
    <w:rsid w:val="00EC71CE"/>
    <w:rsid w:val="00EC758F"/>
    <w:rsid w:val="00EC794B"/>
    <w:rsid w:val="00EC7CAE"/>
    <w:rsid w:val="00ED1006"/>
    <w:rsid w:val="00ED1141"/>
    <w:rsid w:val="00ED121D"/>
    <w:rsid w:val="00ED1A41"/>
    <w:rsid w:val="00ED204E"/>
    <w:rsid w:val="00ED2E2F"/>
    <w:rsid w:val="00ED2E7D"/>
    <w:rsid w:val="00ED32A1"/>
    <w:rsid w:val="00ED3583"/>
    <w:rsid w:val="00ED3C5D"/>
    <w:rsid w:val="00ED406E"/>
    <w:rsid w:val="00ED40A2"/>
    <w:rsid w:val="00ED69CD"/>
    <w:rsid w:val="00ED69E6"/>
    <w:rsid w:val="00ED6A7D"/>
    <w:rsid w:val="00ED6C52"/>
    <w:rsid w:val="00ED7179"/>
    <w:rsid w:val="00EE07E6"/>
    <w:rsid w:val="00EE0DE3"/>
    <w:rsid w:val="00EE173D"/>
    <w:rsid w:val="00EE1CF4"/>
    <w:rsid w:val="00EE2034"/>
    <w:rsid w:val="00EE283F"/>
    <w:rsid w:val="00EE29C6"/>
    <w:rsid w:val="00EE2B48"/>
    <w:rsid w:val="00EE3940"/>
    <w:rsid w:val="00EE427A"/>
    <w:rsid w:val="00EE435A"/>
    <w:rsid w:val="00EE4AAB"/>
    <w:rsid w:val="00EE4E11"/>
    <w:rsid w:val="00EE4F13"/>
    <w:rsid w:val="00EE5151"/>
    <w:rsid w:val="00EE5312"/>
    <w:rsid w:val="00EE5784"/>
    <w:rsid w:val="00EE5949"/>
    <w:rsid w:val="00EE68A5"/>
    <w:rsid w:val="00EE6A6C"/>
    <w:rsid w:val="00EE7FA2"/>
    <w:rsid w:val="00EF022D"/>
    <w:rsid w:val="00EF02F5"/>
    <w:rsid w:val="00EF03E7"/>
    <w:rsid w:val="00EF049B"/>
    <w:rsid w:val="00EF18FE"/>
    <w:rsid w:val="00EF19E6"/>
    <w:rsid w:val="00EF2251"/>
    <w:rsid w:val="00EF2283"/>
    <w:rsid w:val="00EF2C5E"/>
    <w:rsid w:val="00EF3121"/>
    <w:rsid w:val="00EF3471"/>
    <w:rsid w:val="00EF4F55"/>
    <w:rsid w:val="00EF50D7"/>
    <w:rsid w:val="00EF51BD"/>
    <w:rsid w:val="00EF55CA"/>
    <w:rsid w:val="00EF55EB"/>
    <w:rsid w:val="00EF5610"/>
    <w:rsid w:val="00EF5787"/>
    <w:rsid w:val="00EF60D0"/>
    <w:rsid w:val="00EF62CF"/>
    <w:rsid w:val="00EF6356"/>
    <w:rsid w:val="00EF6B8C"/>
    <w:rsid w:val="00EF7760"/>
    <w:rsid w:val="00F00FE8"/>
    <w:rsid w:val="00F014C8"/>
    <w:rsid w:val="00F016ED"/>
    <w:rsid w:val="00F0190D"/>
    <w:rsid w:val="00F01C09"/>
    <w:rsid w:val="00F01DC3"/>
    <w:rsid w:val="00F0263A"/>
    <w:rsid w:val="00F02999"/>
    <w:rsid w:val="00F029DB"/>
    <w:rsid w:val="00F048BB"/>
    <w:rsid w:val="00F04A6E"/>
    <w:rsid w:val="00F04D42"/>
    <w:rsid w:val="00F051B7"/>
    <w:rsid w:val="00F0528D"/>
    <w:rsid w:val="00F06C67"/>
    <w:rsid w:val="00F06DFD"/>
    <w:rsid w:val="00F071D1"/>
    <w:rsid w:val="00F073B9"/>
    <w:rsid w:val="00F07533"/>
    <w:rsid w:val="00F1025E"/>
    <w:rsid w:val="00F104BF"/>
    <w:rsid w:val="00F10629"/>
    <w:rsid w:val="00F108ED"/>
    <w:rsid w:val="00F10AF0"/>
    <w:rsid w:val="00F11333"/>
    <w:rsid w:val="00F1134F"/>
    <w:rsid w:val="00F12AA0"/>
    <w:rsid w:val="00F12F62"/>
    <w:rsid w:val="00F12FE5"/>
    <w:rsid w:val="00F130CB"/>
    <w:rsid w:val="00F13A25"/>
    <w:rsid w:val="00F13AA1"/>
    <w:rsid w:val="00F1407B"/>
    <w:rsid w:val="00F14B44"/>
    <w:rsid w:val="00F14D3E"/>
    <w:rsid w:val="00F1531E"/>
    <w:rsid w:val="00F15975"/>
    <w:rsid w:val="00F15FA5"/>
    <w:rsid w:val="00F1621E"/>
    <w:rsid w:val="00F16574"/>
    <w:rsid w:val="00F167F1"/>
    <w:rsid w:val="00F1782E"/>
    <w:rsid w:val="00F209B7"/>
    <w:rsid w:val="00F20E56"/>
    <w:rsid w:val="00F210B5"/>
    <w:rsid w:val="00F2245F"/>
    <w:rsid w:val="00F2376F"/>
    <w:rsid w:val="00F2389B"/>
    <w:rsid w:val="00F24170"/>
    <w:rsid w:val="00F243D8"/>
    <w:rsid w:val="00F25860"/>
    <w:rsid w:val="00F261F1"/>
    <w:rsid w:val="00F26A94"/>
    <w:rsid w:val="00F27022"/>
    <w:rsid w:val="00F30668"/>
    <w:rsid w:val="00F30739"/>
    <w:rsid w:val="00F30828"/>
    <w:rsid w:val="00F308A2"/>
    <w:rsid w:val="00F310D2"/>
    <w:rsid w:val="00F313D6"/>
    <w:rsid w:val="00F31A8E"/>
    <w:rsid w:val="00F3202A"/>
    <w:rsid w:val="00F3244C"/>
    <w:rsid w:val="00F329EA"/>
    <w:rsid w:val="00F32B28"/>
    <w:rsid w:val="00F33E66"/>
    <w:rsid w:val="00F34ACA"/>
    <w:rsid w:val="00F360BD"/>
    <w:rsid w:val="00F36E19"/>
    <w:rsid w:val="00F36EA0"/>
    <w:rsid w:val="00F37847"/>
    <w:rsid w:val="00F37A23"/>
    <w:rsid w:val="00F37F61"/>
    <w:rsid w:val="00F402A0"/>
    <w:rsid w:val="00F40489"/>
    <w:rsid w:val="00F40A89"/>
    <w:rsid w:val="00F40BC4"/>
    <w:rsid w:val="00F40F0C"/>
    <w:rsid w:val="00F41655"/>
    <w:rsid w:val="00F41F2C"/>
    <w:rsid w:val="00F420E7"/>
    <w:rsid w:val="00F42187"/>
    <w:rsid w:val="00F426EC"/>
    <w:rsid w:val="00F4331A"/>
    <w:rsid w:val="00F4380C"/>
    <w:rsid w:val="00F449AF"/>
    <w:rsid w:val="00F45CCA"/>
    <w:rsid w:val="00F4605E"/>
    <w:rsid w:val="00F460D2"/>
    <w:rsid w:val="00F462C8"/>
    <w:rsid w:val="00F46789"/>
    <w:rsid w:val="00F46C4F"/>
    <w:rsid w:val="00F470C6"/>
    <w:rsid w:val="00F4766C"/>
    <w:rsid w:val="00F478AE"/>
    <w:rsid w:val="00F47DC6"/>
    <w:rsid w:val="00F5060E"/>
    <w:rsid w:val="00F506AF"/>
    <w:rsid w:val="00F507D1"/>
    <w:rsid w:val="00F508D2"/>
    <w:rsid w:val="00F51642"/>
    <w:rsid w:val="00F516E5"/>
    <w:rsid w:val="00F519CE"/>
    <w:rsid w:val="00F51ADA"/>
    <w:rsid w:val="00F51B95"/>
    <w:rsid w:val="00F51C5E"/>
    <w:rsid w:val="00F51F16"/>
    <w:rsid w:val="00F51FB3"/>
    <w:rsid w:val="00F52441"/>
    <w:rsid w:val="00F5248F"/>
    <w:rsid w:val="00F526AF"/>
    <w:rsid w:val="00F5312E"/>
    <w:rsid w:val="00F539C7"/>
    <w:rsid w:val="00F53BA5"/>
    <w:rsid w:val="00F53CFE"/>
    <w:rsid w:val="00F53F68"/>
    <w:rsid w:val="00F556B3"/>
    <w:rsid w:val="00F55D56"/>
    <w:rsid w:val="00F57226"/>
    <w:rsid w:val="00F5776E"/>
    <w:rsid w:val="00F60203"/>
    <w:rsid w:val="00F60301"/>
    <w:rsid w:val="00F607C5"/>
    <w:rsid w:val="00F60DEA"/>
    <w:rsid w:val="00F61C6D"/>
    <w:rsid w:val="00F625B8"/>
    <w:rsid w:val="00F62B7E"/>
    <w:rsid w:val="00F6302A"/>
    <w:rsid w:val="00F63950"/>
    <w:rsid w:val="00F64BD9"/>
    <w:rsid w:val="00F64C2B"/>
    <w:rsid w:val="00F651BE"/>
    <w:rsid w:val="00F65C45"/>
    <w:rsid w:val="00F660D8"/>
    <w:rsid w:val="00F665A5"/>
    <w:rsid w:val="00F66733"/>
    <w:rsid w:val="00F66B56"/>
    <w:rsid w:val="00F66E47"/>
    <w:rsid w:val="00F677F0"/>
    <w:rsid w:val="00F67AD5"/>
    <w:rsid w:val="00F67DC9"/>
    <w:rsid w:val="00F67F53"/>
    <w:rsid w:val="00F7004C"/>
    <w:rsid w:val="00F703BE"/>
    <w:rsid w:val="00F70FBF"/>
    <w:rsid w:val="00F7121C"/>
    <w:rsid w:val="00F71781"/>
    <w:rsid w:val="00F71F69"/>
    <w:rsid w:val="00F720DC"/>
    <w:rsid w:val="00F723BC"/>
    <w:rsid w:val="00F72B72"/>
    <w:rsid w:val="00F736A3"/>
    <w:rsid w:val="00F74BB9"/>
    <w:rsid w:val="00F75582"/>
    <w:rsid w:val="00F76A3C"/>
    <w:rsid w:val="00F76EFA"/>
    <w:rsid w:val="00F77A87"/>
    <w:rsid w:val="00F77E36"/>
    <w:rsid w:val="00F804BE"/>
    <w:rsid w:val="00F80CDC"/>
    <w:rsid w:val="00F81147"/>
    <w:rsid w:val="00F817CE"/>
    <w:rsid w:val="00F8209D"/>
    <w:rsid w:val="00F82DB1"/>
    <w:rsid w:val="00F82ECC"/>
    <w:rsid w:val="00F830DE"/>
    <w:rsid w:val="00F83288"/>
    <w:rsid w:val="00F83604"/>
    <w:rsid w:val="00F8456C"/>
    <w:rsid w:val="00F84EB6"/>
    <w:rsid w:val="00F858B3"/>
    <w:rsid w:val="00F859D8"/>
    <w:rsid w:val="00F85CB2"/>
    <w:rsid w:val="00F85F37"/>
    <w:rsid w:val="00F868F5"/>
    <w:rsid w:val="00F876D6"/>
    <w:rsid w:val="00F87953"/>
    <w:rsid w:val="00F87A33"/>
    <w:rsid w:val="00F9056A"/>
    <w:rsid w:val="00F90B2A"/>
    <w:rsid w:val="00F90F8D"/>
    <w:rsid w:val="00F91173"/>
    <w:rsid w:val="00F91BBD"/>
    <w:rsid w:val="00F921E8"/>
    <w:rsid w:val="00F926C5"/>
    <w:rsid w:val="00F92782"/>
    <w:rsid w:val="00F929B0"/>
    <w:rsid w:val="00F93AA9"/>
    <w:rsid w:val="00F94E54"/>
    <w:rsid w:val="00F94EC3"/>
    <w:rsid w:val="00F950EA"/>
    <w:rsid w:val="00F953FB"/>
    <w:rsid w:val="00F95526"/>
    <w:rsid w:val="00F96404"/>
    <w:rsid w:val="00F96538"/>
    <w:rsid w:val="00F967B2"/>
    <w:rsid w:val="00F96955"/>
    <w:rsid w:val="00F96985"/>
    <w:rsid w:val="00F96CC8"/>
    <w:rsid w:val="00F97838"/>
    <w:rsid w:val="00FA03B6"/>
    <w:rsid w:val="00FA1A41"/>
    <w:rsid w:val="00FA25C8"/>
    <w:rsid w:val="00FA2BB3"/>
    <w:rsid w:val="00FA3B46"/>
    <w:rsid w:val="00FA427A"/>
    <w:rsid w:val="00FA431D"/>
    <w:rsid w:val="00FA4854"/>
    <w:rsid w:val="00FA48ED"/>
    <w:rsid w:val="00FA4F4A"/>
    <w:rsid w:val="00FB0742"/>
    <w:rsid w:val="00FB0C2E"/>
    <w:rsid w:val="00FB153A"/>
    <w:rsid w:val="00FB263D"/>
    <w:rsid w:val="00FB3F57"/>
    <w:rsid w:val="00FB437A"/>
    <w:rsid w:val="00FB48C9"/>
    <w:rsid w:val="00FB49BF"/>
    <w:rsid w:val="00FB4C80"/>
    <w:rsid w:val="00FB599B"/>
    <w:rsid w:val="00FB5C68"/>
    <w:rsid w:val="00FB5DDD"/>
    <w:rsid w:val="00FB6A6A"/>
    <w:rsid w:val="00FC0906"/>
    <w:rsid w:val="00FC0D30"/>
    <w:rsid w:val="00FC11A5"/>
    <w:rsid w:val="00FC12F8"/>
    <w:rsid w:val="00FC12FA"/>
    <w:rsid w:val="00FC1780"/>
    <w:rsid w:val="00FC179B"/>
    <w:rsid w:val="00FC1AC4"/>
    <w:rsid w:val="00FC3846"/>
    <w:rsid w:val="00FC3928"/>
    <w:rsid w:val="00FC3ACD"/>
    <w:rsid w:val="00FC3B56"/>
    <w:rsid w:val="00FC3C3B"/>
    <w:rsid w:val="00FC412B"/>
    <w:rsid w:val="00FC5582"/>
    <w:rsid w:val="00FC64DE"/>
    <w:rsid w:val="00FC7429"/>
    <w:rsid w:val="00FC76F6"/>
    <w:rsid w:val="00FD00D6"/>
    <w:rsid w:val="00FD07F6"/>
    <w:rsid w:val="00FD1D46"/>
    <w:rsid w:val="00FD1EC8"/>
    <w:rsid w:val="00FD1ED0"/>
    <w:rsid w:val="00FD1F77"/>
    <w:rsid w:val="00FD264E"/>
    <w:rsid w:val="00FD27E2"/>
    <w:rsid w:val="00FD2C60"/>
    <w:rsid w:val="00FD3920"/>
    <w:rsid w:val="00FD4118"/>
    <w:rsid w:val="00FD4180"/>
    <w:rsid w:val="00FD47ED"/>
    <w:rsid w:val="00FD4E04"/>
    <w:rsid w:val="00FD5ADD"/>
    <w:rsid w:val="00FD5FDF"/>
    <w:rsid w:val="00FD6000"/>
    <w:rsid w:val="00FD6A0D"/>
    <w:rsid w:val="00FD7268"/>
    <w:rsid w:val="00FD74DB"/>
    <w:rsid w:val="00FD7660"/>
    <w:rsid w:val="00FE00C1"/>
    <w:rsid w:val="00FE0655"/>
    <w:rsid w:val="00FE14E4"/>
    <w:rsid w:val="00FE1C0B"/>
    <w:rsid w:val="00FE2365"/>
    <w:rsid w:val="00FE26F3"/>
    <w:rsid w:val="00FE2728"/>
    <w:rsid w:val="00FE2F27"/>
    <w:rsid w:val="00FE32BC"/>
    <w:rsid w:val="00FE37D7"/>
    <w:rsid w:val="00FE47DC"/>
    <w:rsid w:val="00FE4C74"/>
    <w:rsid w:val="00FE4C7B"/>
    <w:rsid w:val="00FE4FF9"/>
    <w:rsid w:val="00FE582B"/>
    <w:rsid w:val="00FE62EA"/>
    <w:rsid w:val="00FE68F6"/>
    <w:rsid w:val="00FE7336"/>
    <w:rsid w:val="00FE785E"/>
    <w:rsid w:val="00FE787C"/>
    <w:rsid w:val="00FE7B26"/>
    <w:rsid w:val="00FE7CE4"/>
    <w:rsid w:val="00FF0798"/>
    <w:rsid w:val="00FF1509"/>
    <w:rsid w:val="00FF1FE3"/>
    <w:rsid w:val="00FF20DE"/>
    <w:rsid w:val="00FF21C4"/>
    <w:rsid w:val="00FF32E4"/>
    <w:rsid w:val="00FF3353"/>
    <w:rsid w:val="00FF387A"/>
    <w:rsid w:val="00FF42D2"/>
    <w:rsid w:val="00FF45A5"/>
    <w:rsid w:val="00FF4DD5"/>
    <w:rsid w:val="00FF5247"/>
    <w:rsid w:val="00FF56CD"/>
    <w:rsid w:val="00FF5C91"/>
    <w:rsid w:val="00FF68C5"/>
    <w:rsid w:val="00FF6923"/>
    <w:rsid w:val="00FF7260"/>
    <w:rsid w:val="00FF77E1"/>
    <w:rsid w:val="011D538D"/>
    <w:rsid w:val="013F0AEF"/>
    <w:rsid w:val="019C2519"/>
    <w:rsid w:val="019E78DD"/>
    <w:rsid w:val="021E3335"/>
    <w:rsid w:val="025B7A45"/>
    <w:rsid w:val="02A36E14"/>
    <w:rsid w:val="02FE79FE"/>
    <w:rsid w:val="030501C5"/>
    <w:rsid w:val="03412554"/>
    <w:rsid w:val="03764359"/>
    <w:rsid w:val="03EE7407"/>
    <w:rsid w:val="04013D0E"/>
    <w:rsid w:val="040B189C"/>
    <w:rsid w:val="044B36AE"/>
    <w:rsid w:val="04642403"/>
    <w:rsid w:val="0479467E"/>
    <w:rsid w:val="04E15E6B"/>
    <w:rsid w:val="053539CF"/>
    <w:rsid w:val="062F07EF"/>
    <w:rsid w:val="075E02EB"/>
    <w:rsid w:val="08022EE5"/>
    <w:rsid w:val="08774C42"/>
    <w:rsid w:val="087C2354"/>
    <w:rsid w:val="08AA3361"/>
    <w:rsid w:val="08B35707"/>
    <w:rsid w:val="08D318A2"/>
    <w:rsid w:val="08D723C5"/>
    <w:rsid w:val="08F326B2"/>
    <w:rsid w:val="09B32689"/>
    <w:rsid w:val="09BF10B0"/>
    <w:rsid w:val="09C96293"/>
    <w:rsid w:val="09E43DB5"/>
    <w:rsid w:val="0A743FFB"/>
    <w:rsid w:val="0AA255F4"/>
    <w:rsid w:val="0AA349BF"/>
    <w:rsid w:val="0B094157"/>
    <w:rsid w:val="0BFE77CF"/>
    <w:rsid w:val="0C532174"/>
    <w:rsid w:val="0C540C92"/>
    <w:rsid w:val="0C5F1A54"/>
    <w:rsid w:val="0C850DE0"/>
    <w:rsid w:val="0CB200C5"/>
    <w:rsid w:val="0CE54064"/>
    <w:rsid w:val="0CF366ED"/>
    <w:rsid w:val="0D7101C9"/>
    <w:rsid w:val="0D870F11"/>
    <w:rsid w:val="0F414A49"/>
    <w:rsid w:val="0F5F6319"/>
    <w:rsid w:val="0F706100"/>
    <w:rsid w:val="0F821C15"/>
    <w:rsid w:val="0F9A326F"/>
    <w:rsid w:val="0FB21E9A"/>
    <w:rsid w:val="102D625B"/>
    <w:rsid w:val="10A02A15"/>
    <w:rsid w:val="10D802F8"/>
    <w:rsid w:val="10FA1C8B"/>
    <w:rsid w:val="1138564F"/>
    <w:rsid w:val="114535BD"/>
    <w:rsid w:val="11C155AF"/>
    <w:rsid w:val="11DB55C3"/>
    <w:rsid w:val="11DC229F"/>
    <w:rsid w:val="124D2BA3"/>
    <w:rsid w:val="12BB5BD8"/>
    <w:rsid w:val="12E110C3"/>
    <w:rsid w:val="139A1AD4"/>
    <w:rsid w:val="13CE4A67"/>
    <w:rsid w:val="13DC1FB6"/>
    <w:rsid w:val="13F00BBF"/>
    <w:rsid w:val="14434483"/>
    <w:rsid w:val="14825CE5"/>
    <w:rsid w:val="14CD25DC"/>
    <w:rsid w:val="14D06576"/>
    <w:rsid w:val="14FC16F8"/>
    <w:rsid w:val="14FD01F5"/>
    <w:rsid w:val="15122000"/>
    <w:rsid w:val="1512210B"/>
    <w:rsid w:val="152760F7"/>
    <w:rsid w:val="152B3697"/>
    <w:rsid w:val="15476010"/>
    <w:rsid w:val="16236B45"/>
    <w:rsid w:val="1683791E"/>
    <w:rsid w:val="16D90A2F"/>
    <w:rsid w:val="16ED44DA"/>
    <w:rsid w:val="16FC64CC"/>
    <w:rsid w:val="17187690"/>
    <w:rsid w:val="1787156B"/>
    <w:rsid w:val="17FF3775"/>
    <w:rsid w:val="180C0990"/>
    <w:rsid w:val="18133DAD"/>
    <w:rsid w:val="18313ADF"/>
    <w:rsid w:val="183366E4"/>
    <w:rsid w:val="18733564"/>
    <w:rsid w:val="187C4654"/>
    <w:rsid w:val="18B7333C"/>
    <w:rsid w:val="193C5348"/>
    <w:rsid w:val="19462B05"/>
    <w:rsid w:val="19575FF0"/>
    <w:rsid w:val="19F459BE"/>
    <w:rsid w:val="1B212E8F"/>
    <w:rsid w:val="1B8A22F8"/>
    <w:rsid w:val="1C306863"/>
    <w:rsid w:val="1C404C21"/>
    <w:rsid w:val="1C644267"/>
    <w:rsid w:val="1C891335"/>
    <w:rsid w:val="1C9176B6"/>
    <w:rsid w:val="1CB81069"/>
    <w:rsid w:val="1CC04241"/>
    <w:rsid w:val="1CF9491F"/>
    <w:rsid w:val="1CFB49AC"/>
    <w:rsid w:val="1D9A36FD"/>
    <w:rsid w:val="1D9D258E"/>
    <w:rsid w:val="1DE06D8D"/>
    <w:rsid w:val="1E4B797B"/>
    <w:rsid w:val="1E772552"/>
    <w:rsid w:val="1E9D6337"/>
    <w:rsid w:val="1EBD3E36"/>
    <w:rsid w:val="1EC45DFE"/>
    <w:rsid w:val="1ED8098D"/>
    <w:rsid w:val="1F2108E2"/>
    <w:rsid w:val="1F2918C4"/>
    <w:rsid w:val="1F3D3902"/>
    <w:rsid w:val="1F3F789D"/>
    <w:rsid w:val="1FF10E9A"/>
    <w:rsid w:val="20084133"/>
    <w:rsid w:val="208D78A1"/>
    <w:rsid w:val="209C2837"/>
    <w:rsid w:val="20CB7412"/>
    <w:rsid w:val="20CE2C87"/>
    <w:rsid w:val="215C449A"/>
    <w:rsid w:val="21632D6C"/>
    <w:rsid w:val="21810580"/>
    <w:rsid w:val="21C877CC"/>
    <w:rsid w:val="23515DF1"/>
    <w:rsid w:val="23716593"/>
    <w:rsid w:val="23C83004"/>
    <w:rsid w:val="23DB0253"/>
    <w:rsid w:val="24390D5F"/>
    <w:rsid w:val="24C2363F"/>
    <w:rsid w:val="24CF4CFF"/>
    <w:rsid w:val="24E231A5"/>
    <w:rsid w:val="25605CBD"/>
    <w:rsid w:val="25874A9E"/>
    <w:rsid w:val="25D03C58"/>
    <w:rsid w:val="25D92BF1"/>
    <w:rsid w:val="25EB62D5"/>
    <w:rsid w:val="25FF1B34"/>
    <w:rsid w:val="264803D1"/>
    <w:rsid w:val="266F1ECA"/>
    <w:rsid w:val="26EA6341"/>
    <w:rsid w:val="27230D68"/>
    <w:rsid w:val="272C4BAB"/>
    <w:rsid w:val="275210CB"/>
    <w:rsid w:val="276D57B1"/>
    <w:rsid w:val="27FA0805"/>
    <w:rsid w:val="285C6DCA"/>
    <w:rsid w:val="29581C87"/>
    <w:rsid w:val="29DA44BB"/>
    <w:rsid w:val="2A043BBD"/>
    <w:rsid w:val="2A420D73"/>
    <w:rsid w:val="2AD93FA3"/>
    <w:rsid w:val="2AF855A7"/>
    <w:rsid w:val="2B4440C3"/>
    <w:rsid w:val="2C144BBC"/>
    <w:rsid w:val="2C3A1266"/>
    <w:rsid w:val="2C536973"/>
    <w:rsid w:val="2C636EDA"/>
    <w:rsid w:val="2D323189"/>
    <w:rsid w:val="2DA64439"/>
    <w:rsid w:val="2DCE4CD3"/>
    <w:rsid w:val="2DD01E1E"/>
    <w:rsid w:val="2DE25BF2"/>
    <w:rsid w:val="2E11085D"/>
    <w:rsid w:val="2EC86CD7"/>
    <w:rsid w:val="2ED06F67"/>
    <w:rsid w:val="2EEE5B4C"/>
    <w:rsid w:val="2EFA558F"/>
    <w:rsid w:val="2F13023F"/>
    <w:rsid w:val="2F5A43C3"/>
    <w:rsid w:val="2F5E3C7F"/>
    <w:rsid w:val="2F83662C"/>
    <w:rsid w:val="308E05D1"/>
    <w:rsid w:val="30E958BB"/>
    <w:rsid w:val="30FF4A39"/>
    <w:rsid w:val="315E5E5E"/>
    <w:rsid w:val="319B7AF6"/>
    <w:rsid w:val="319D704A"/>
    <w:rsid w:val="31A85A28"/>
    <w:rsid w:val="31FF65F3"/>
    <w:rsid w:val="32072E1B"/>
    <w:rsid w:val="322B1182"/>
    <w:rsid w:val="328916B1"/>
    <w:rsid w:val="32A75B13"/>
    <w:rsid w:val="32C64BB6"/>
    <w:rsid w:val="332D4379"/>
    <w:rsid w:val="333723D2"/>
    <w:rsid w:val="336C6657"/>
    <w:rsid w:val="33D44600"/>
    <w:rsid w:val="3403497E"/>
    <w:rsid w:val="343432F1"/>
    <w:rsid w:val="34CE4903"/>
    <w:rsid w:val="34D3213E"/>
    <w:rsid w:val="350D601C"/>
    <w:rsid w:val="354174A9"/>
    <w:rsid w:val="35EF29CF"/>
    <w:rsid w:val="36997A13"/>
    <w:rsid w:val="369C5D69"/>
    <w:rsid w:val="36F316A0"/>
    <w:rsid w:val="37235A7B"/>
    <w:rsid w:val="372F6F43"/>
    <w:rsid w:val="373750A4"/>
    <w:rsid w:val="37550509"/>
    <w:rsid w:val="3756245A"/>
    <w:rsid w:val="3759490C"/>
    <w:rsid w:val="376143FD"/>
    <w:rsid w:val="38877B39"/>
    <w:rsid w:val="389A2654"/>
    <w:rsid w:val="3907624F"/>
    <w:rsid w:val="395104A1"/>
    <w:rsid w:val="39E5643B"/>
    <w:rsid w:val="3A39340F"/>
    <w:rsid w:val="3A5F127F"/>
    <w:rsid w:val="3A751E27"/>
    <w:rsid w:val="3ACB43D0"/>
    <w:rsid w:val="3B3935F3"/>
    <w:rsid w:val="3B482958"/>
    <w:rsid w:val="3B4863B5"/>
    <w:rsid w:val="3B783AC3"/>
    <w:rsid w:val="3BD004E3"/>
    <w:rsid w:val="3C485F06"/>
    <w:rsid w:val="3C514B1A"/>
    <w:rsid w:val="3C5E7CE5"/>
    <w:rsid w:val="3CFF3AAE"/>
    <w:rsid w:val="3D866124"/>
    <w:rsid w:val="3E10030E"/>
    <w:rsid w:val="3E537926"/>
    <w:rsid w:val="3EAC2F7C"/>
    <w:rsid w:val="3EE02022"/>
    <w:rsid w:val="3EFA5048"/>
    <w:rsid w:val="407F2EB0"/>
    <w:rsid w:val="409C33B7"/>
    <w:rsid w:val="40D870AE"/>
    <w:rsid w:val="41233E42"/>
    <w:rsid w:val="41461118"/>
    <w:rsid w:val="41473F10"/>
    <w:rsid w:val="41932532"/>
    <w:rsid w:val="419B0BD8"/>
    <w:rsid w:val="421D3C7F"/>
    <w:rsid w:val="425F2C44"/>
    <w:rsid w:val="42AE0712"/>
    <w:rsid w:val="43212C92"/>
    <w:rsid w:val="433504EC"/>
    <w:rsid w:val="43381FAF"/>
    <w:rsid w:val="43DB426A"/>
    <w:rsid w:val="44041293"/>
    <w:rsid w:val="44472BCC"/>
    <w:rsid w:val="44F27DA9"/>
    <w:rsid w:val="453B2F1D"/>
    <w:rsid w:val="456F1680"/>
    <w:rsid w:val="45D67D64"/>
    <w:rsid w:val="45E67EC7"/>
    <w:rsid w:val="465B639A"/>
    <w:rsid w:val="46C94CA2"/>
    <w:rsid w:val="46E57AC0"/>
    <w:rsid w:val="47022D7D"/>
    <w:rsid w:val="47102967"/>
    <w:rsid w:val="472B40E0"/>
    <w:rsid w:val="48825526"/>
    <w:rsid w:val="49064EC7"/>
    <w:rsid w:val="491A61EA"/>
    <w:rsid w:val="4A336E15"/>
    <w:rsid w:val="4A630C85"/>
    <w:rsid w:val="4A826C39"/>
    <w:rsid w:val="4A8670DD"/>
    <w:rsid w:val="4A8A4F3F"/>
    <w:rsid w:val="4AB13907"/>
    <w:rsid w:val="4BCD61D2"/>
    <w:rsid w:val="4C433C79"/>
    <w:rsid w:val="4C9952B8"/>
    <w:rsid w:val="4CD314A1"/>
    <w:rsid w:val="4D675D69"/>
    <w:rsid w:val="4D812130"/>
    <w:rsid w:val="4DE4431E"/>
    <w:rsid w:val="4E192EE4"/>
    <w:rsid w:val="4E8C5DAC"/>
    <w:rsid w:val="4ED47F17"/>
    <w:rsid w:val="4ED950EE"/>
    <w:rsid w:val="4EE54456"/>
    <w:rsid w:val="4EFD4F1D"/>
    <w:rsid w:val="4F760C6D"/>
    <w:rsid w:val="500D047B"/>
    <w:rsid w:val="502A2B49"/>
    <w:rsid w:val="504D31EC"/>
    <w:rsid w:val="50B129D4"/>
    <w:rsid w:val="51051E45"/>
    <w:rsid w:val="51430D10"/>
    <w:rsid w:val="52554CD8"/>
    <w:rsid w:val="525B7A37"/>
    <w:rsid w:val="52860D64"/>
    <w:rsid w:val="53422BD9"/>
    <w:rsid w:val="54B95421"/>
    <w:rsid w:val="54F35804"/>
    <w:rsid w:val="550F04EE"/>
    <w:rsid w:val="56764C4B"/>
    <w:rsid w:val="571277BA"/>
    <w:rsid w:val="57594DFF"/>
    <w:rsid w:val="57E841D4"/>
    <w:rsid w:val="58001560"/>
    <w:rsid w:val="58257790"/>
    <w:rsid w:val="58B3345D"/>
    <w:rsid w:val="592A7AD3"/>
    <w:rsid w:val="59D041AD"/>
    <w:rsid w:val="59F86AC3"/>
    <w:rsid w:val="5A3D7F5A"/>
    <w:rsid w:val="5A692DC4"/>
    <w:rsid w:val="5B681E4A"/>
    <w:rsid w:val="5BB07857"/>
    <w:rsid w:val="5BD054F3"/>
    <w:rsid w:val="5C0F4EA5"/>
    <w:rsid w:val="5C10300E"/>
    <w:rsid w:val="5C145E6E"/>
    <w:rsid w:val="5C6418A2"/>
    <w:rsid w:val="5CB83980"/>
    <w:rsid w:val="5D8722A0"/>
    <w:rsid w:val="5DA6050C"/>
    <w:rsid w:val="5DB17E3C"/>
    <w:rsid w:val="5DEA21A7"/>
    <w:rsid w:val="5E082F75"/>
    <w:rsid w:val="5E800D5D"/>
    <w:rsid w:val="60906921"/>
    <w:rsid w:val="60BB5B92"/>
    <w:rsid w:val="60BE2C44"/>
    <w:rsid w:val="6194783C"/>
    <w:rsid w:val="61C60942"/>
    <w:rsid w:val="623163AB"/>
    <w:rsid w:val="623D5E73"/>
    <w:rsid w:val="625F47C5"/>
    <w:rsid w:val="62D57E37"/>
    <w:rsid w:val="630A076D"/>
    <w:rsid w:val="63EF530C"/>
    <w:rsid w:val="63FA773C"/>
    <w:rsid w:val="6413155D"/>
    <w:rsid w:val="64156DA2"/>
    <w:rsid w:val="64165E03"/>
    <w:rsid w:val="64BE6346"/>
    <w:rsid w:val="64E002F7"/>
    <w:rsid w:val="64ED11C3"/>
    <w:rsid w:val="651D342C"/>
    <w:rsid w:val="652069C5"/>
    <w:rsid w:val="654874A8"/>
    <w:rsid w:val="654C170B"/>
    <w:rsid w:val="65EA0CE4"/>
    <w:rsid w:val="65FB6FAE"/>
    <w:rsid w:val="66241E6F"/>
    <w:rsid w:val="66A4646F"/>
    <w:rsid w:val="66DB345F"/>
    <w:rsid w:val="67027F47"/>
    <w:rsid w:val="677A3DE6"/>
    <w:rsid w:val="677A7653"/>
    <w:rsid w:val="67B46E9D"/>
    <w:rsid w:val="67BC6D33"/>
    <w:rsid w:val="67C5639E"/>
    <w:rsid w:val="68090234"/>
    <w:rsid w:val="682D082C"/>
    <w:rsid w:val="684557B3"/>
    <w:rsid w:val="68620403"/>
    <w:rsid w:val="688223D6"/>
    <w:rsid w:val="691E10F2"/>
    <w:rsid w:val="69851B9E"/>
    <w:rsid w:val="69AC07FF"/>
    <w:rsid w:val="69B92479"/>
    <w:rsid w:val="69DC1418"/>
    <w:rsid w:val="6A611863"/>
    <w:rsid w:val="6AAA5652"/>
    <w:rsid w:val="6B411DD0"/>
    <w:rsid w:val="6B543CEF"/>
    <w:rsid w:val="6B86772B"/>
    <w:rsid w:val="6BA623D1"/>
    <w:rsid w:val="6BC24785"/>
    <w:rsid w:val="6C6E6E1B"/>
    <w:rsid w:val="6C70058B"/>
    <w:rsid w:val="6CB87393"/>
    <w:rsid w:val="6CDE0FB8"/>
    <w:rsid w:val="6CF37F5A"/>
    <w:rsid w:val="6D6235DF"/>
    <w:rsid w:val="6D8D0DA1"/>
    <w:rsid w:val="6DC74D79"/>
    <w:rsid w:val="6DE739AA"/>
    <w:rsid w:val="6DF83F53"/>
    <w:rsid w:val="6E0757AF"/>
    <w:rsid w:val="6E6C7C05"/>
    <w:rsid w:val="6E6D0864"/>
    <w:rsid w:val="6EF110B8"/>
    <w:rsid w:val="6F59718C"/>
    <w:rsid w:val="700874A1"/>
    <w:rsid w:val="70B64633"/>
    <w:rsid w:val="70E05800"/>
    <w:rsid w:val="711C6FAF"/>
    <w:rsid w:val="715D18A0"/>
    <w:rsid w:val="71805F00"/>
    <w:rsid w:val="71FB30C7"/>
    <w:rsid w:val="72264492"/>
    <w:rsid w:val="722B67CA"/>
    <w:rsid w:val="725D474F"/>
    <w:rsid w:val="726755B9"/>
    <w:rsid w:val="7289422C"/>
    <w:rsid w:val="732030F4"/>
    <w:rsid w:val="732813D9"/>
    <w:rsid w:val="737E5413"/>
    <w:rsid w:val="74111754"/>
    <w:rsid w:val="74845A4A"/>
    <w:rsid w:val="751D41E9"/>
    <w:rsid w:val="75DB1BA2"/>
    <w:rsid w:val="75EB0D5A"/>
    <w:rsid w:val="761926CA"/>
    <w:rsid w:val="76B03F21"/>
    <w:rsid w:val="77721026"/>
    <w:rsid w:val="77793112"/>
    <w:rsid w:val="78245EA6"/>
    <w:rsid w:val="78383202"/>
    <w:rsid w:val="79095F6B"/>
    <w:rsid w:val="79280D61"/>
    <w:rsid w:val="796E53E9"/>
    <w:rsid w:val="79764A4E"/>
    <w:rsid w:val="799B7171"/>
    <w:rsid w:val="79D97279"/>
    <w:rsid w:val="79EE1666"/>
    <w:rsid w:val="7A247FB3"/>
    <w:rsid w:val="7A363246"/>
    <w:rsid w:val="7A694471"/>
    <w:rsid w:val="7ABE6B0E"/>
    <w:rsid w:val="7AE17DA5"/>
    <w:rsid w:val="7B2D6E27"/>
    <w:rsid w:val="7B6F3D9E"/>
    <w:rsid w:val="7B841A29"/>
    <w:rsid w:val="7BA45C33"/>
    <w:rsid w:val="7BD155A1"/>
    <w:rsid w:val="7BEB0E7C"/>
    <w:rsid w:val="7BF32EFA"/>
    <w:rsid w:val="7DA708E0"/>
    <w:rsid w:val="7DD86068"/>
    <w:rsid w:val="7E6F4989"/>
    <w:rsid w:val="7E9F7BA7"/>
    <w:rsid w:val="7ED14F91"/>
    <w:rsid w:val="7F6B2D71"/>
    <w:rsid w:val="7FA21DFA"/>
    <w:rsid w:val="7FAC50B6"/>
    <w:rsid w:val="7FFD5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E3C176"/>
  <w15:docId w15:val="{A081B187-2D8B-4CEC-84C4-E5BD815C4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unhideWhenUsed="1" w:qFormat="1"/>
    <w:lsdException w:name="envelope return" w:unhideWhenUsed="1" w:qFormat="1"/>
    <w:lsdException w:name="footnote reference" w:qFormat="1"/>
    <w:lsdException w:name="annotation reference" w:qFormat="1"/>
    <w:lsdException w:name="page number" w:qFormat="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uiPriority="1" w:unhideWhenUsed="1" w:qFormat="1"/>
    <w:lsdException w:name="Body Text" w:qFormat="1"/>
    <w:lsdException w:name="Body Text Indent" w:unhideWhenUsed="1" w:qFormat="1"/>
    <w:lsdException w:name="List Continue" w:qFormat="1"/>
    <w:lsdException w:name="List Continue 2"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unhideWhenUsed="1" w:qFormat="1"/>
    <w:lsdException w:name="Date" w:unhideWhenUsed="1" w:qFormat="1"/>
    <w:lsdException w:name="Body Text First Indent" w:unhideWhenUsed="1" w:qFormat="1"/>
    <w:lsdException w:name="Body Text First Indent 2" w:unhideWhenUsed="1" w:qFormat="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uiPriority="99" w:unhideWhenUsed="1" w:qFormat="1"/>
    <w:lsdException w:name="Strong" w:uiPriority="22" w:qFormat="1"/>
    <w:lsdException w:name="Emphasis" w:qFormat="1"/>
    <w:lsdException w:name="Document Map" w:qFormat="1"/>
    <w:lsdException w:name="Plain Text" w:uiPriority="99"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ddress" w:unhideWhenUsed="1" w:qFormat="1"/>
    <w:lsdException w:name="HTML Code" w:uiPriority="99" w:unhideWhenUsed="1" w:qFormat="1"/>
    <w:lsdException w:name="HTML Preformatted" w:unhideWhenUsed="1"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A5042"/>
    <w:pPr>
      <w:widowControl w:val="0"/>
      <w:jc w:val="both"/>
    </w:pPr>
    <w:rPr>
      <w:rFonts w:asciiTheme="minorHAnsi" w:eastAsiaTheme="minorEastAsia" w:hAnsiTheme="minorHAnsi" w:cstheme="minorBidi"/>
      <w:kern w:val="2"/>
      <w:sz w:val="21"/>
      <w:szCs w:val="22"/>
    </w:rPr>
  </w:style>
  <w:style w:type="paragraph" w:styleId="1">
    <w:name w:val="heading 1"/>
    <w:next w:val="a1"/>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val="en-GB" w:eastAsia="ja-JP"/>
    </w:rPr>
  </w:style>
  <w:style w:type="paragraph" w:styleId="20">
    <w:name w:val="heading 2"/>
    <w:basedOn w:val="1"/>
    <w:next w:val="a1"/>
    <w:link w:val="22"/>
    <w:qFormat/>
    <w:pPr>
      <w:numPr>
        <w:ilvl w:val="1"/>
      </w:numPr>
      <w:pBdr>
        <w:top w:val="none" w:sz="0" w:space="0" w:color="auto"/>
      </w:pBdr>
      <w:spacing w:before="180"/>
      <w:outlineLvl w:val="1"/>
    </w:pPr>
    <w:rPr>
      <w:sz w:val="32"/>
    </w:rPr>
  </w:style>
  <w:style w:type="paragraph" w:styleId="31">
    <w:name w:val="heading 3"/>
    <w:basedOn w:val="20"/>
    <w:next w:val="a1"/>
    <w:link w:val="32"/>
    <w:qFormat/>
    <w:pPr>
      <w:numPr>
        <w:ilvl w:val="2"/>
      </w:numPr>
      <w:spacing w:before="120"/>
      <w:outlineLvl w:val="2"/>
    </w:pPr>
    <w:rPr>
      <w:sz w:val="28"/>
    </w:rPr>
  </w:style>
  <w:style w:type="paragraph" w:styleId="42">
    <w:name w:val="heading 4"/>
    <w:basedOn w:val="31"/>
    <w:next w:val="a1"/>
    <w:link w:val="43"/>
    <w:qFormat/>
    <w:pPr>
      <w:numPr>
        <w:ilvl w:val="3"/>
      </w:numPr>
      <w:outlineLvl w:val="3"/>
    </w:pPr>
    <w:rPr>
      <w:sz w:val="24"/>
    </w:rPr>
  </w:style>
  <w:style w:type="paragraph" w:styleId="50">
    <w:name w:val="heading 5"/>
    <w:basedOn w:val="42"/>
    <w:next w:val="a1"/>
    <w:link w:val="52"/>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rsid w:val="009A504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A5042"/>
  </w:style>
  <w:style w:type="paragraph" w:styleId="a5">
    <w:name w:val="macro"/>
    <w:link w:val="a6"/>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paragraph" w:customStyle="1" w:styleId="H6">
    <w:name w:val="H6"/>
    <w:basedOn w:val="50"/>
    <w:next w:val="a1"/>
    <w:link w:val="H6Char"/>
    <w:qFormat/>
    <w:pPr>
      <w:ind w:left="1985" w:hanging="1985"/>
      <w:outlineLvl w:val="9"/>
    </w:pPr>
    <w:rPr>
      <w:sz w:val="20"/>
    </w:rPr>
  </w:style>
  <w:style w:type="paragraph" w:styleId="33">
    <w:name w:val="List 3"/>
    <w:basedOn w:val="23"/>
    <w:qFormat/>
    <w:pPr>
      <w:ind w:left="1135"/>
    </w:pPr>
  </w:style>
  <w:style w:type="paragraph" w:styleId="23">
    <w:name w:val="List 2"/>
    <w:basedOn w:val="a7"/>
    <w:qFormat/>
    <w:pPr>
      <w:ind w:left="851"/>
    </w:pPr>
    <w:rPr>
      <w:lang w:eastAsia="ja-JP"/>
    </w:rPr>
  </w:style>
  <w:style w:type="paragraph" w:styleId="a7">
    <w:name w:val="List"/>
    <w:basedOn w:val="a1"/>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21">
    <w:name w:val="List Number 2"/>
    <w:basedOn w:val="a"/>
    <w:qFormat/>
    <w:pPr>
      <w:numPr>
        <w:numId w:val="2"/>
      </w:numPr>
    </w:pPr>
  </w:style>
  <w:style w:type="paragraph" w:styleId="a">
    <w:name w:val="List Number"/>
    <w:basedOn w:val="a7"/>
    <w:qFormat/>
    <w:pPr>
      <w:numPr>
        <w:numId w:val="3"/>
      </w:numPr>
    </w:pPr>
    <w:rPr>
      <w:lang w:eastAsia="ja-JP"/>
    </w:rPr>
  </w:style>
  <w:style w:type="paragraph" w:styleId="a8">
    <w:name w:val="table of authorities"/>
    <w:basedOn w:val="a1"/>
    <w:next w:val="a1"/>
    <w:unhideWhenUsed/>
    <w:qFormat/>
    <w:pPr>
      <w:widowControl/>
      <w:overflowPunct w:val="0"/>
      <w:autoSpaceDE w:val="0"/>
      <w:autoSpaceDN w:val="0"/>
      <w:adjustRightInd w:val="0"/>
      <w:ind w:left="200" w:hanging="200"/>
    </w:pPr>
    <w:rPr>
      <w:rFonts w:ascii="Times New Roman" w:eastAsia="Times New Roman" w:hAnsi="Times New Roman" w:cs="Times New Roman"/>
      <w:kern w:val="0"/>
      <w:sz w:val="20"/>
      <w:szCs w:val="20"/>
      <w:lang w:val="en-GB"/>
    </w:rPr>
  </w:style>
  <w:style w:type="paragraph" w:styleId="a9">
    <w:name w:val="Note Heading"/>
    <w:basedOn w:val="a1"/>
    <w:next w:val="a1"/>
    <w:link w:val="aa"/>
    <w:unhideWhenUsed/>
    <w:qFormat/>
    <w:pPr>
      <w:widowControl/>
      <w:overflowPunct w:val="0"/>
      <w:autoSpaceDE w:val="0"/>
      <w:autoSpaceDN w:val="0"/>
      <w:adjustRightInd w:val="0"/>
    </w:pPr>
    <w:rPr>
      <w:rFonts w:ascii="Times New Roman" w:eastAsia="Times New Roman" w:hAnsi="Times New Roman" w:cs="Times New Roman"/>
      <w:kern w:val="0"/>
      <w:sz w:val="20"/>
      <w:szCs w:val="20"/>
      <w:lang w:val="en-GB"/>
    </w:rPr>
  </w:style>
  <w:style w:type="paragraph" w:styleId="41">
    <w:name w:val="List Bullet 4"/>
    <w:basedOn w:val="30"/>
    <w:qFormat/>
    <w:pPr>
      <w:numPr>
        <w:numId w:val="4"/>
      </w:numPr>
    </w:pPr>
  </w:style>
  <w:style w:type="paragraph" w:styleId="30">
    <w:name w:val="List Bullet 3"/>
    <w:basedOn w:val="2"/>
    <w:qFormat/>
    <w:pPr>
      <w:numPr>
        <w:numId w:val="5"/>
      </w:numPr>
    </w:pPr>
  </w:style>
  <w:style w:type="paragraph" w:styleId="2">
    <w:name w:val="List Bullet 2"/>
    <w:basedOn w:val="a0"/>
    <w:link w:val="24"/>
    <w:qFormat/>
    <w:pPr>
      <w:numPr>
        <w:numId w:val="6"/>
      </w:numPr>
    </w:pPr>
  </w:style>
  <w:style w:type="paragraph" w:styleId="a0">
    <w:name w:val="List Bullet"/>
    <w:basedOn w:val="a7"/>
    <w:qFormat/>
    <w:pPr>
      <w:numPr>
        <w:numId w:val="7"/>
      </w:numPr>
    </w:pPr>
    <w:rPr>
      <w:lang w:eastAsia="ja-JP"/>
    </w:rPr>
  </w:style>
  <w:style w:type="paragraph" w:styleId="81">
    <w:name w:val="index 8"/>
    <w:basedOn w:val="a1"/>
    <w:next w:val="a1"/>
    <w:unhideWhenUsed/>
    <w:qFormat/>
    <w:pPr>
      <w:widowControl/>
      <w:overflowPunct w:val="0"/>
      <w:autoSpaceDE w:val="0"/>
      <w:autoSpaceDN w:val="0"/>
      <w:adjustRightInd w:val="0"/>
      <w:ind w:left="1600" w:hanging="200"/>
    </w:pPr>
    <w:rPr>
      <w:rFonts w:ascii="Times New Roman" w:eastAsia="Times New Roman" w:hAnsi="Times New Roman" w:cs="Times New Roman"/>
      <w:kern w:val="0"/>
      <w:sz w:val="20"/>
      <w:szCs w:val="20"/>
      <w:lang w:val="en-GB"/>
    </w:rPr>
  </w:style>
  <w:style w:type="paragraph" w:styleId="ab">
    <w:name w:val="E-mail Signature"/>
    <w:basedOn w:val="a1"/>
    <w:link w:val="ac"/>
    <w:unhideWhenUsed/>
    <w:qFormat/>
    <w:pPr>
      <w:widowControl/>
      <w:overflowPunct w:val="0"/>
      <w:autoSpaceDE w:val="0"/>
      <w:autoSpaceDN w:val="0"/>
      <w:adjustRightInd w:val="0"/>
    </w:pPr>
    <w:rPr>
      <w:rFonts w:ascii="Times New Roman" w:eastAsia="Times New Roman" w:hAnsi="Times New Roman" w:cs="Times New Roman"/>
      <w:kern w:val="0"/>
      <w:sz w:val="20"/>
      <w:szCs w:val="20"/>
      <w:lang w:val="en-GB"/>
    </w:rPr>
  </w:style>
  <w:style w:type="paragraph" w:styleId="ad">
    <w:name w:val="Normal Indent"/>
    <w:basedOn w:val="a1"/>
    <w:unhideWhenUsed/>
    <w:qFormat/>
    <w:pPr>
      <w:widowControl/>
      <w:overflowPunct w:val="0"/>
      <w:autoSpaceDE w:val="0"/>
      <w:autoSpaceDN w:val="0"/>
      <w:adjustRightInd w:val="0"/>
      <w:spacing w:after="180"/>
      <w:ind w:left="720"/>
    </w:pPr>
    <w:rPr>
      <w:rFonts w:ascii="Times New Roman" w:eastAsia="Times New Roman" w:hAnsi="Times New Roman" w:cs="Times New Roman"/>
      <w:kern w:val="0"/>
      <w:sz w:val="20"/>
      <w:szCs w:val="20"/>
      <w:lang w:val="en-GB"/>
    </w:rPr>
  </w:style>
  <w:style w:type="paragraph" w:styleId="ae">
    <w:name w:val="caption"/>
    <w:basedOn w:val="a1"/>
    <w:next w:val="a1"/>
    <w:link w:val="af"/>
    <w:qFormat/>
    <w:pPr>
      <w:spacing w:before="120" w:after="120"/>
    </w:pPr>
    <w:rPr>
      <w:b/>
      <w:lang w:eastAsia="en-GB"/>
    </w:rPr>
  </w:style>
  <w:style w:type="paragraph" w:styleId="53">
    <w:name w:val="index 5"/>
    <w:basedOn w:val="a1"/>
    <w:next w:val="a1"/>
    <w:unhideWhenUsed/>
    <w:qFormat/>
    <w:pPr>
      <w:widowControl/>
      <w:overflowPunct w:val="0"/>
      <w:autoSpaceDE w:val="0"/>
      <w:autoSpaceDN w:val="0"/>
      <w:adjustRightInd w:val="0"/>
      <w:ind w:left="1000" w:hanging="200"/>
    </w:pPr>
    <w:rPr>
      <w:rFonts w:ascii="Times New Roman" w:eastAsia="Times New Roman" w:hAnsi="Times New Roman" w:cs="Times New Roman"/>
      <w:kern w:val="0"/>
      <w:sz w:val="20"/>
      <w:szCs w:val="20"/>
      <w:lang w:val="en-GB"/>
    </w:rPr>
  </w:style>
  <w:style w:type="paragraph" w:styleId="af0">
    <w:name w:val="envelope address"/>
    <w:basedOn w:val="a1"/>
    <w:unhideWhenUsed/>
    <w:qFormat/>
    <w:pPr>
      <w:framePr w:w="7920" w:h="1980" w:hSpace="180" w:wrap="auto" w:hAnchor="page" w:xAlign="center" w:yAlign="bottom"/>
      <w:widowControl/>
      <w:overflowPunct w:val="0"/>
      <w:autoSpaceDE w:val="0"/>
      <w:autoSpaceDN w:val="0"/>
      <w:adjustRightInd w:val="0"/>
      <w:ind w:left="2880"/>
    </w:pPr>
    <w:rPr>
      <w:rFonts w:asciiTheme="majorHAnsi" w:eastAsiaTheme="majorEastAsia" w:hAnsiTheme="majorHAnsi" w:cstheme="majorBidi"/>
      <w:kern w:val="0"/>
      <w:sz w:val="24"/>
      <w:lang w:val="en-GB"/>
    </w:rPr>
  </w:style>
  <w:style w:type="paragraph" w:styleId="af1">
    <w:name w:val="Document Map"/>
    <w:basedOn w:val="a1"/>
    <w:link w:val="af2"/>
    <w:qFormat/>
    <w:pPr>
      <w:shd w:val="clear" w:color="auto" w:fill="000080"/>
    </w:pPr>
    <w:rPr>
      <w:rFonts w:ascii="Tahoma" w:hAnsi="Tahoma" w:cs="Tahoma"/>
    </w:rPr>
  </w:style>
  <w:style w:type="paragraph" w:styleId="af3">
    <w:name w:val="toa heading"/>
    <w:basedOn w:val="a1"/>
    <w:next w:val="a1"/>
    <w:unhideWhenUsed/>
    <w:qFormat/>
    <w:pPr>
      <w:widowControl/>
      <w:overflowPunct w:val="0"/>
      <w:autoSpaceDE w:val="0"/>
      <w:autoSpaceDN w:val="0"/>
      <w:adjustRightInd w:val="0"/>
      <w:spacing w:before="120" w:after="180"/>
    </w:pPr>
    <w:rPr>
      <w:rFonts w:asciiTheme="majorHAnsi" w:eastAsiaTheme="majorEastAsia" w:hAnsiTheme="majorHAnsi" w:cstheme="majorBidi"/>
      <w:b/>
      <w:bCs/>
      <w:kern w:val="0"/>
      <w:sz w:val="24"/>
      <w:lang w:val="en-GB"/>
    </w:rPr>
  </w:style>
  <w:style w:type="paragraph" w:styleId="af4">
    <w:name w:val="annotation text"/>
    <w:basedOn w:val="a1"/>
    <w:link w:val="af5"/>
    <w:uiPriority w:val="99"/>
    <w:qFormat/>
  </w:style>
  <w:style w:type="paragraph" w:styleId="61">
    <w:name w:val="index 6"/>
    <w:basedOn w:val="a1"/>
    <w:next w:val="a1"/>
    <w:unhideWhenUsed/>
    <w:qFormat/>
    <w:pPr>
      <w:widowControl/>
      <w:overflowPunct w:val="0"/>
      <w:autoSpaceDE w:val="0"/>
      <w:autoSpaceDN w:val="0"/>
      <w:adjustRightInd w:val="0"/>
      <w:ind w:left="1200" w:hanging="200"/>
    </w:pPr>
    <w:rPr>
      <w:rFonts w:ascii="Times New Roman" w:eastAsia="Times New Roman" w:hAnsi="Times New Roman" w:cs="Times New Roman"/>
      <w:kern w:val="0"/>
      <w:sz w:val="20"/>
      <w:szCs w:val="20"/>
      <w:lang w:val="en-GB"/>
    </w:rPr>
  </w:style>
  <w:style w:type="paragraph" w:styleId="af6">
    <w:name w:val="Salutation"/>
    <w:basedOn w:val="a1"/>
    <w:next w:val="a1"/>
    <w:link w:val="af7"/>
    <w:unhideWhenUsed/>
    <w:qFormat/>
    <w:pPr>
      <w:widowControl/>
      <w:overflowPunct w:val="0"/>
      <w:autoSpaceDE w:val="0"/>
      <w:autoSpaceDN w:val="0"/>
      <w:adjustRightInd w:val="0"/>
      <w:spacing w:after="180"/>
    </w:pPr>
    <w:rPr>
      <w:rFonts w:ascii="Times New Roman" w:eastAsia="Times New Roman" w:hAnsi="Times New Roman" w:cs="Times New Roman"/>
      <w:kern w:val="0"/>
      <w:sz w:val="20"/>
      <w:szCs w:val="20"/>
      <w:lang w:val="en-GB"/>
    </w:rPr>
  </w:style>
  <w:style w:type="paragraph" w:styleId="34">
    <w:name w:val="Body Text 3"/>
    <w:basedOn w:val="a1"/>
    <w:link w:val="35"/>
    <w:unhideWhenUsed/>
    <w:qFormat/>
    <w:pPr>
      <w:widowControl/>
      <w:overflowPunct w:val="0"/>
      <w:autoSpaceDE w:val="0"/>
      <w:autoSpaceDN w:val="0"/>
      <w:adjustRightInd w:val="0"/>
      <w:spacing w:after="120"/>
    </w:pPr>
    <w:rPr>
      <w:rFonts w:ascii="Times New Roman" w:eastAsia="Times New Roman" w:hAnsi="Times New Roman" w:cs="Times New Roman"/>
      <w:kern w:val="0"/>
      <w:sz w:val="16"/>
      <w:szCs w:val="16"/>
      <w:lang w:val="en-GB" w:eastAsia="ja-JP"/>
    </w:rPr>
  </w:style>
  <w:style w:type="paragraph" w:styleId="af8">
    <w:name w:val="Closing"/>
    <w:basedOn w:val="a1"/>
    <w:link w:val="af9"/>
    <w:unhideWhenUsed/>
    <w:qFormat/>
    <w:pPr>
      <w:widowControl/>
      <w:overflowPunct w:val="0"/>
      <w:autoSpaceDE w:val="0"/>
      <w:autoSpaceDN w:val="0"/>
      <w:adjustRightInd w:val="0"/>
      <w:ind w:left="4252"/>
    </w:pPr>
    <w:rPr>
      <w:rFonts w:ascii="Times New Roman" w:eastAsia="Times New Roman" w:hAnsi="Times New Roman" w:cs="Times New Roman"/>
      <w:kern w:val="0"/>
      <w:sz w:val="20"/>
      <w:szCs w:val="20"/>
      <w:lang w:val="en-GB"/>
    </w:rPr>
  </w:style>
  <w:style w:type="paragraph" w:styleId="afa">
    <w:name w:val="Body Text"/>
    <w:basedOn w:val="a1"/>
    <w:link w:val="afb"/>
    <w:qFormat/>
    <w:pPr>
      <w:spacing w:after="120"/>
    </w:pPr>
    <w:rPr>
      <w:rFonts w:ascii="Arial" w:hAnsi="Arial"/>
    </w:rPr>
  </w:style>
  <w:style w:type="paragraph" w:styleId="afc">
    <w:name w:val="Body Text Indent"/>
    <w:basedOn w:val="a1"/>
    <w:link w:val="afd"/>
    <w:unhideWhenUsed/>
    <w:qFormat/>
    <w:pPr>
      <w:widowControl/>
      <w:overflowPunct w:val="0"/>
      <w:autoSpaceDE w:val="0"/>
      <w:autoSpaceDN w:val="0"/>
      <w:adjustRightInd w:val="0"/>
      <w:spacing w:after="120"/>
      <w:ind w:left="283"/>
    </w:pPr>
    <w:rPr>
      <w:rFonts w:ascii="Times New Roman" w:eastAsia="Times New Roman" w:hAnsi="Times New Roman" w:cs="Times New Roman"/>
      <w:kern w:val="0"/>
      <w:sz w:val="20"/>
      <w:szCs w:val="20"/>
      <w:lang w:val="en-GB"/>
    </w:rPr>
  </w:style>
  <w:style w:type="paragraph" w:styleId="3">
    <w:name w:val="List Number 3"/>
    <w:basedOn w:val="21"/>
    <w:qFormat/>
    <w:pPr>
      <w:numPr>
        <w:numId w:val="8"/>
      </w:numPr>
      <w:contextualSpacing/>
    </w:pPr>
  </w:style>
  <w:style w:type="paragraph" w:styleId="afe">
    <w:name w:val="List Continue"/>
    <w:basedOn w:val="a1"/>
    <w:qFormat/>
    <w:pPr>
      <w:spacing w:after="120"/>
      <w:ind w:left="283"/>
      <w:contextualSpacing/>
    </w:pPr>
    <w:rPr>
      <w:rFonts w:ascii="Arial" w:hAnsi="Arial"/>
    </w:rPr>
  </w:style>
  <w:style w:type="paragraph" w:styleId="aff">
    <w:name w:val="Block Text"/>
    <w:basedOn w:val="a1"/>
    <w:unhideWhenUsed/>
    <w:qFormat/>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pPr>
    <w:rPr>
      <w:i/>
      <w:iCs/>
      <w:color w:val="4472C4" w:themeColor="accent1"/>
      <w:kern w:val="0"/>
      <w:sz w:val="20"/>
      <w:szCs w:val="20"/>
      <w:lang w:val="en-GB"/>
    </w:rPr>
  </w:style>
  <w:style w:type="paragraph" w:styleId="HTML">
    <w:name w:val="HTML Address"/>
    <w:basedOn w:val="a1"/>
    <w:link w:val="HTML0"/>
    <w:unhideWhenUsed/>
    <w:qFormat/>
    <w:pPr>
      <w:widowControl/>
      <w:overflowPunct w:val="0"/>
      <w:autoSpaceDE w:val="0"/>
      <w:autoSpaceDN w:val="0"/>
      <w:adjustRightInd w:val="0"/>
    </w:pPr>
    <w:rPr>
      <w:rFonts w:ascii="Times New Roman" w:eastAsia="Times New Roman" w:hAnsi="Times New Roman" w:cs="Times New Roman"/>
      <w:i/>
      <w:iCs/>
      <w:kern w:val="0"/>
      <w:sz w:val="20"/>
      <w:szCs w:val="20"/>
      <w:lang w:val="en-GB"/>
    </w:rPr>
  </w:style>
  <w:style w:type="paragraph" w:styleId="44">
    <w:name w:val="index 4"/>
    <w:basedOn w:val="a1"/>
    <w:next w:val="a1"/>
    <w:unhideWhenUsed/>
    <w:qFormat/>
    <w:pPr>
      <w:widowControl/>
      <w:overflowPunct w:val="0"/>
      <w:autoSpaceDE w:val="0"/>
      <w:autoSpaceDN w:val="0"/>
      <w:adjustRightInd w:val="0"/>
      <w:ind w:left="800" w:hanging="200"/>
    </w:pPr>
    <w:rPr>
      <w:rFonts w:ascii="Times New Roman" w:eastAsia="Times New Roman" w:hAnsi="Times New Roman" w:cs="Times New Roman"/>
      <w:kern w:val="0"/>
      <w:sz w:val="20"/>
      <w:szCs w:val="20"/>
      <w:lang w:val="en-GB"/>
    </w:rPr>
  </w:style>
  <w:style w:type="paragraph" w:styleId="aff0">
    <w:name w:val="Plain Text"/>
    <w:basedOn w:val="a1"/>
    <w:link w:val="aff1"/>
    <w:uiPriority w:val="99"/>
    <w:qFormat/>
    <w:rPr>
      <w:rFonts w:ascii="Courier New" w:hAnsi="Courier New"/>
      <w:lang w:val="nb-NO"/>
    </w:rPr>
  </w:style>
  <w:style w:type="paragraph" w:styleId="51">
    <w:name w:val="List Bullet 5"/>
    <w:basedOn w:val="41"/>
    <w:qFormat/>
    <w:pPr>
      <w:numPr>
        <w:numId w:val="9"/>
      </w:numPr>
    </w:pPr>
  </w:style>
  <w:style w:type="paragraph" w:styleId="4">
    <w:name w:val="List Number 4"/>
    <w:basedOn w:val="a1"/>
    <w:unhideWhenUsed/>
    <w:qFormat/>
    <w:pPr>
      <w:widowControl/>
      <w:numPr>
        <w:numId w:val="10"/>
      </w:numPr>
      <w:tabs>
        <w:tab w:val="clear" w:pos="1209"/>
      </w:tabs>
      <w:overflowPunct w:val="0"/>
      <w:autoSpaceDE w:val="0"/>
      <w:autoSpaceDN w:val="0"/>
      <w:adjustRightInd w:val="0"/>
      <w:spacing w:after="180"/>
      <w:ind w:left="0" w:firstLine="0"/>
      <w:contextualSpacing/>
    </w:pPr>
    <w:rPr>
      <w:rFonts w:ascii="Times New Roman" w:eastAsia="Times New Roman" w:hAnsi="Times New Roman" w:cs="Times New Roman"/>
      <w:kern w:val="0"/>
      <w:sz w:val="20"/>
      <w:szCs w:val="20"/>
      <w:lang w:val="en-GB"/>
    </w:rPr>
  </w:style>
  <w:style w:type="paragraph" w:styleId="TOC8">
    <w:name w:val="toc 8"/>
    <w:basedOn w:val="TOC1"/>
    <w:next w:val="a1"/>
    <w:uiPriority w:val="39"/>
    <w:qFormat/>
    <w:pPr>
      <w:spacing w:before="180"/>
      <w:ind w:left="2693" w:hanging="2693"/>
    </w:pPr>
    <w:rPr>
      <w:b/>
    </w:rPr>
  </w:style>
  <w:style w:type="paragraph" w:styleId="36">
    <w:name w:val="index 3"/>
    <w:basedOn w:val="a1"/>
    <w:next w:val="a1"/>
    <w:unhideWhenUsed/>
    <w:qFormat/>
    <w:pPr>
      <w:widowControl/>
      <w:overflowPunct w:val="0"/>
      <w:autoSpaceDE w:val="0"/>
      <w:autoSpaceDN w:val="0"/>
      <w:adjustRightInd w:val="0"/>
      <w:ind w:left="600" w:hanging="200"/>
    </w:pPr>
    <w:rPr>
      <w:rFonts w:ascii="Times New Roman" w:eastAsia="Times New Roman" w:hAnsi="Times New Roman" w:cs="Times New Roman"/>
      <w:kern w:val="0"/>
      <w:sz w:val="20"/>
      <w:szCs w:val="20"/>
      <w:lang w:val="en-GB"/>
    </w:rPr>
  </w:style>
  <w:style w:type="paragraph" w:styleId="aff2">
    <w:name w:val="Date"/>
    <w:basedOn w:val="a1"/>
    <w:next w:val="a1"/>
    <w:link w:val="aff3"/>
    <w:unhideWhenUsed/>
    <w:qFormat/>
    <w:pPr>
      <w:widowControl/>
      <w:overflowPunct w:val="0"/>
      <w:autoSpaceDE w:val="0"/>
      <w:autoSpaceDN w:val="0"/>
      <w:adjustRightInd w:val="0"/>
      <w:spacing w:after="180"/>
    </w:pPr>
    <w:rPr>
      <w:rFonts w:ascii="Times New Roman" w:eastAsia="Times New Roman" w:hAnsi="Times New Roman" w:cs="Times New Roman"/>
      <w:kern w:val="0"/>
      <w:sz w:val="20"/>
      <w:szCs w:val="20"/>
      <w:lang w:val="en-GB"/>
    </w:rPr>
  </w:style>
  <w:style w:type="paragraph" w:styleId="25">
    <w:name w:val="Body Text Indent 2"/>
    <w:basedOn w:val="a1"/>
    <w:link w:val="26"/>
    <w:unhideWhenUsed/>
    <w:qFormat/>
    <w:pPr>
      <w:widowControl/>
      <w:overflowPunct w:val="0"/>
      <w:autoSpaceDE w:val="0"/>
      <w:autoSpaceDN w:val="0"/>
      <w:adjustRightInd w:val="0"/>
      <w:spacing w:after="120" w:line="480" w:lineRule="auto"/>
      <w:ind w:left="283"/>
    </w:pPr>
    <w:rPr>
      <w:rFonts w:ascii="Times New Roman" w:eastAsia="Times New Roman" w:hAnsi="Times New Roman" w:cs="Times New Roman"/>
      <w:kern w:val="0"/>
      <w:sz w:val="20"/>
      <w:szCs w:val="20"/>
      <w:lang w:val="en-GB"/>
    </w:rPr>
  </w:style>
  <w:style w:type="paragraph" w:styleId="aff4">
    <w:name w:val="endnote text"/>
    <w:basedOn w:val="a1"/>
    <w:link w:val="aff5"/>
    <w:unhideWhenUsed/>
    <w:qFormat/>
    <w:pPr>
      <w:widowControl/>
      <w:overflowPunct w:val="0"/>
      <w:autoSpaceDE w:val="0"/>
      <w:autoSpaceDN w:val="0"/>
      <w:adjustRightInd w:val="0"/>
    </w:pPr>
    <w:rPr>
      <w:rFonts w:ascii="Times New Roman" w:eastAsia="Times New Roman" w:hAnsi="Times New Roman" w:cs="Times New Roman"/>
      <w:kern w:val="0"/>
      <w:sz w:val="20"/>
      <w:szCs w:val="20"/>
      <w:lang w:val="en-GB"/>
    </w:rPr>
  </w:style>
  <w:style w:type="paragraph" w:styleId="54">
    <w:name w:val="List Continue 5"/>
    <w:basedOn w:val="a1"/>
    <w:unhideWhenUsed/>
    <w:qFormat/>
    <w:pPr>
      <w:widowControl/>
      <w:overflowPunct w:val="0"/>
      <w:autoSpaceDE w:val="0"/>
      <w:autoSpaceDN w:val="0"/>
      <w:adjustRightInd w:val="0"/>
      <w:spacing w:after="120"/>
      <w:ind w:left="1415"/>
      <w:contextualSpacing/>
    </w:pPr>
    <w:rPr>
      <w:rFonts w:ascii="Times New Roman" w:eastAsia="Times New Roman" w:hAnsi="Times New Roman" w:cs="Times New Roman"/>
      <w:kern w:val="0"/>
      <w:sz w:val="20"/>
      <w:szCs w:val="20"/>
      <w:lang w:val="en-GB"/>
    </w:rPr>
  </w:style>
  <w:style w:type="paragraph" w:styleId="aff6">
    <w:name w:val="Balloon Text"/>
    <w:basedOn w:val="a1"/>
    <w:link w:val="aff7"/>
    <w:uiPriority w:val="99"/>
    <w:qFormat/>
    <w:rPr>
      <w:rFonts w:ascii="Segoe UI" w:hAnsi="Segoe UI" w:cs="Segoe UI"/>
      <w:sz w:val="18"/>
      <w:szCs w:val="18"/>
    </w:rPr>
  </w:style>
  <w:style w:type="paragraph" w:styleId="aff8">
    <w:name w:val="footer"/>
    <w:basedOn w:val="aff9"/>
    <w:link w:val="affa"/>
    <w:qFormat/>
    <w:pPr>
      <w:jc w:val="center"/>
    </w:pPr>
    <w:rPr>
      <w:i/>
    </w:rPr>
  </w:style>
  <w:style w:type="paragraph" w:styleId="aff9">
    <w:name w:val="header"/>
    <w:link w:val="affb"/>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c">
    <w:name w:val="envelope return"/>
    <w:basedOn w:val="a1"/>
    <w:unhideWhenUsed/>
    <w:qFormat/>
    <w:pPr>
      <w:widowControl/>
      <w:overflowPunct w:val="0"/>
      <w:autoSpaceDE w:val="0"/>
      <w:autoSpaceDN w:val="0"/>
      <w:adjustRightInd w:val="0"/>
    </w:pPr>
    <w:rPr>
      <w:rFonts w:asciiTheme="majorHAnsi" w:eastAsiaTheme="majorEastAsia" w:hAnsiTheme="majorHAnsi" w:cstheme="majorBidi"/>
      <w:kern w:val="0"/>
      <w:sz w:val="20"/>
      <w:szCs w:val="20"/>
      <w:lang w:val="en-GB"/>
    </w:rPr>
  </w:style>
  <w:style w:type="paragraph" w:styleId="affd">
    <w:name w:val="Signature"/>
    <w:basedOn w:val="a1"/>
    <w:link w:val="affe"/>
    <w:unhideWhenUsed/>
    <w:qFormat/>
    <w:pPr>
      <w:widowControl/>
      <w:overflowPunct w:val="0"/>
      <w:autoSpaceDE w:val="0"/>
      <w:autoSpaceDN w:val="0"/>
      <w:adjustRightInd w:val="0"/>
      <w:ind w:left="4252"/>
    </w:pPr>
    <w:rPr>
      <w:rFonts w:ascii="Times New Roman" w:eastAsia="Times New Roman" w:hAnsi="Times New Roman" w:cs="Times New Roman"/>
      <w:kern w:val="0"/>
      <w:sz w:val="20"/>
      <w:szCs w:val="20"/>
      <w:lang w:val="en-GB"/>
    </w:rPr>
  </w:style>
  <w:style w:type="paragraph" w:styleId="45">
    <w:name w:val="List Continue 4"/>
    <w:basedOn w:val="a1"/>
    <w:unhideWhenUsed/>
    <w:qFormat/>
    <w:pPr>
      <w:widowControl/>
      <w:overflowPunct w:val="0"/>
      <w:autoSpaceDE w:val="0"/>
      <w:autoSpaceDN w:val="0"/>
      <w:adjustRightInd w:val="0"/>
      <w:spacing w:after="120"/>
      <w:ind w:left="1132"/>
      <w:contextualSpacing/>
    </w:pPr>
    <w:rPr>
      <w:rFonts w:ascii="Times New Roman" w:eastAsia="Times New Roman" w:hAnsi="Times New Roman" w:cs="Times New Roman"/>
      <w:kern w:val="0"/>
      <w:sz w:val="20"/>
      <w:szCs w:val="20"/>
      <w:lang w:val="en-GB"/>
    </w:rPr>
  </w:style>
  <w:style w:type="paragraph" w:styleId="afff">
    <w:name w:val="index heading"/>
    <w:basedOn w:val="a1"/>
    <w:next w:val="a1"/>
    <w:qFormat/>
    <w:pPr>
      <w:pBdr>
        <w:top w:val="single" w:sz="12" w:space="0" w:color="auto"/>
      </w:pBdr>
      <w:spacing w:before="360" w:after="240"/>
    </w:pPr>
    <w:rPr>
      <w:b/>
      <w:i/>
      <w:sz w:val="26"/>
      <w:lang w:eastAsia="en-GB"/>
    </w:rPr>
  </w:style>
  <w:style w:type="paragraph" w:styleId="afff0">
    <w:name w:val="Subtitle"/>
    <w:basedOn w:val="a1"/>
    <w:next w:val="a1"/>
    <w:link w:val="afff1"/>
    <w:qFormat/>
    <w:pPr>
      <w:widowControl/>
      <w:overflowPunct w:val="0"/>
      <w:autoSpaceDE w:val="0"/>
      <w:autoSpaceDN w:val="0"/>
      <w:adjustRightInd w:val="0"/>
    </w:pPr>
    <w:rPr>
      <w:color w:val="595959" w:themeColor="text1" w:themeTint="A6"/>
      <w:spacing w:val="15"/>
      <w:kern w:val="0"/>
      <w:lang w:val="en-GB"/>
    </w:rPr>
  </w:style>
  <w:style w:type="paragraph" w:styleId="5">
    <w:name w:val="List Number 5"/>
    <w:basedOn w:val="a1"/>
    <w:unhideWhenUsed/>
    <w:qFormat/>
    <w:pPr>
      <w:widowControl/>
      <w:numPr>
        <w:numId w:val="11"/>
      </w:numPr>
      <w:tabs>
        <w:tab w:val="clear" w:pos="1492"/>
      </w:tabs>
      <w:overflowPunct w:val="0"/>
      <w:autoSpaceDE w:val="0"/>
      <w:autoSpaceDN w:val="0"/>
      <w:adjustRightInd w:val="0"/>
      <w:spacing w:after="180"/>
      <w:ind w:left="0" w:firstLine="0"/>
      <w:contextualSpacing/>
    </w:pPr>
    <w:rPr>
      <w:rFonts w:ascii="Times New Roman" w:eastAsia="Times New Roman" w:hAnsi="Times New Roman" w:cs="Times New Roman"/>
      <w:kern w:val="0"/>
      <w:sz w:val="20"/>
      <w:szCs w:val="20"/>
      <w:lang w:val="en-GB"/>
    </w:rPr>
  </w:style>
  <w:style w:type="paragraph" w:styleId="afff2">
    <w:name w:val="footnote text"/>
    <w:basedOn w:val="a1"/>
    <w:link w:val="afff3"/>
    <w:qFormat/>
    <w:pPr>
      <w:keepLines/>
      <w:ind w:left="454" w:hanging="454"/>
    </w:pPr>
    <w:rPr>
      <w:sz w:val="16"/>
    </w:rPr>
  </w:style>
  <w:style w:type="paragraph" w:styleId="55">
    <w:name w:val="List 5"/>
    <w:basedOn w:val="46"/>
    <w:qFormat/>
    <w:pPr>
      <w:ind w:left="1702"/>
    </w:pPr>
  </w:style>
  <w:style w:type="paragraph" w:styleId="46">
    <w:name w:val="List 4"/>
    <w:basedOn w:val="33"/>
    <w:qFormat/>
    <w:pPr>
      <w:ind w:left="1418"/>
    </w:pPr>
  </w:style>
  <w:style w:type="paragraph" w:styleId="37">
    <w:name w:val="Body Text Indent 3"/>
    <w:basedOn w:val="a1"/>
    <w:link w:val="38"/>
    <w:unhideWhenUsed/>
    <w:qFormat/>
    <w:pPr>
      <w:widowControl/>
      <w:overflowPunct w:val="0"/>
      <w:autoSpaceDE w:val="0"/>
      <w:autoSpaceDN w:val="0"/>
      <w:adjustRightInd w:val="0"/>
      <w:spacing w:after="120"/>
      <w:ind w:left="283"/>
    </w:pPr>
    <w:rPr>
      <w:rFonts w:ascii="Times New Roman" w:eastAsia="Times New Roman" w:hAnsi="Times New Roman" w:cs="Times New Roman"/>
      <w:kern w:val="0"/>
      <w:sz w:val="16"/>
      <w:szCs w:val="16"/>
      <w:lang w:val="en-GB"/>
    </w:rPr>
  </w:style>
  <w:style w:type="paragraph" w:styleId="71">
    <w:name w:val="index 7"/>
    <w:basedOn w:val="a1"/>
    <w:next w:val="a1"/>
    <w:unhideWhenUsed/>
    <w:qFormat/>
    <w:pPr>
      <w:widowControl/>
      <w:overflowPunct w:val="0"/>
      <w:autoSpaceDE w:val="0"/>
      <w:autoSpaceDN w:val="0"/>
      <w:adjustRightInd w:val="0"/>
      <w:ind w:left="1400" w:hanging="200"/>
    </w:pPr>
    <w:rPr>
      <w:rFonts w:ascii="Times New Roman" w:eastAsia="Times New Roman" w:hAnsi="Times New Roman" w:cs="Times New Roman"/>
      <w:kern w:val="0"/>
      <w:sz w:val="20"/>
      <w:szCs w:val="20"/>
      <w:lang w:val="en-GB"/>
    </w:rPr>
  </w:style>
  <w:style w:type="paragraph" w:styleId="91">
    <w:name w:val="index 9"/>
    <w:basedOn w:val="a1"/>
    <w:next w:val="a1"/>
    <w:unhideWhenUsed/>
    <w:qFormat/>
    <w:pPr>
      <w:widowControl/>
      <w:overflowPunct w:val="0"/>
      <w:autoSpaceDE w:val="0"/>
      <w:autoSpaceDN w:val="0"/>
      <w:adjustRightInd w:val="0"/>
      <w:ind w:left="1800" w:hanging="200"/>
    </w:pPr>
    <w:rPr>
      <w:rFonts w:ascii="Times New Roman" w:eastAsia="Times New Roman" w:hAnsi="Times New Roman" w:cs="Times New Roman"/>
      <w:kern w:val="0"/>
      <w:sz w:val="20"/>
      <w:szCs w:val="20"/>
      <w:lang w:val="en-GB"/>
    </w:rPr>
  </w:style>
  <w:style w:type="paragraph" w:styleId="afff4">
    <w:name w:val="table of figures"/>
    <w:basedOn w:val="afa"/>
    <w:next w:val="a1"/>
    <w:qFormat/>
    <w:pPr>
      <w:ind w:left="1701" w:hanging="1701"/>
    </w:pPr>
    <w:rPr>
      <w:b/>
    </w:rPr>
  </w:style>
  <w:style w:type="paragraph" w:styleId="TOC9">
    <w:name w:val="toc 9"/>
    <w:basedOn w:val="TOC8"/>
    <w:next w:val="a1"/>
    <w:uiPriority w:val="39"/>
    <w:qFormat/>
    <w:pPr>
      <w:ind w:left="1418" w:hanging="1418"/>
    </w:pPr>
  </w:style>
  <w:style w:type="paragraph" w:styleId="27">
    <w:name w:val="Body Text 2"/>
    <w:basedOn w:val="a1"/>
    <w:link w:val="28"/>
    <w:qFormat/>
    <w:pPr>
      <w:spacing w:line="259" w:lineRule="auto"/>
    </w:pPr>
    <w:rPr>
      <w:rFonts w:ascii="Times New Roman" w:eastAsia="MS Mincho" w:hAnsi="Times New Roman" w:cs="Times New Roman"/>
      <w:kern w:val="0"/>
      <w:sz w:val="24"/>
      <w:szCs w:val="20"/>
      <w:lang w:val="en-GB" w:eastAsia="en-US"/>
    </w:rPr>
  </w:style>
  <w:style w:type="paragraph" w:styleId="29">
    <w:name w:val="List Continue 2"/>
    <w:basedOn w:val="a1"/>
    <w:qFormat/>
    <w:pPr>
      <w:spacing w:after="120"/>
      <w:ind w:left="566"/>
      <w:contextualSpacing/>
    </w:pPr>
    <w:rPr>
      <w:rFonts w:ascii="Arial" w:hAnsi="Arial"/>
    </w:rPr>
  </w:style>
  <w:style w:type="paragraph" w:styleId="afff5">
    <w:name w:val="Message Header"/>
    <w:basedOn w:val="a1"/>
    <w:link w:val="afff6"/>
    <w:unhideWhenUsed/>
    <w:qFormat/>
    <w:pPr>
      <w:widowControl/>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kern w:val="0"/>
      <w:sz w:val="24"/>
      <w:lang w:val="en-GB"/>
    </w:rPr>
  </w:style>
  <w:style w:type="paragraph" w:styleId="HTML1">
    <w:name w:val="HTML Preformatted"/>
    <w:basedOn w:val="a1"/>
    <w:link w:val="HTML2"/>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eastAsia="Times New Roman" w:hAnsi="Consolas" w:cs="Times New Roman"/>
      <w:kern w:val="0"/>
      <w:sz w:val="20"/>
      <w:szCs w:val="20"/>
      <w:lang w:val="en-GB"/>
    </w:rPr>
  </w:style>
  <w:style w:type="paragraph" w:styleId="afff7">
    <w:name w:val="Normal (Web)"/>
    <w:basedOn w:val="a1"/>
    <w:unhideWhenUsed/>
    <w:qFormat/>
    <w:pPr>
      <w:spacing w:before="100" w:beforeAutospacing="1" w:after="100" w:afterAutospacing="1"/>
    </w:pPr>
    <w:rPr>
      <w:rFonts w:ascii="Times New Roman" w:eastAsia="Yu Mincho" w:hAnsi="Times New Roman" w:cs="Times New Roman"/>
      <w:sz w:val="24"/>
      <w:lang w:eastAsia="en-US"/>
    </w:rPr>
  </w:style>
  <w:style w:type="paragraph" w:styleId="39">
    <w:name w:val="List Continue 3"/>
    <w:basedOn w:val="a1"/>
    <w:unhideWhenUsed/>
    <w:qFormat/>
    <w:pPr>
      <w:widowControl/>
      <w:overflowPunct w:val="0"/>
      <w:autoSpaceDE w:val="0"/>
      <w:autoSpaceDN w:val="0"/>
      <w:adjustRightInd w:val="0"/>
      <w:spacing w:after="120"/>
      <w:ind w:left="849"/>
      <w:contextualSpacing/>
    </w:pPr>
    <w:rPr>
      <w:rFonts w:ascii="Times New Roman" w:eastAsia="Times New Roman" w:hAnsi="Times New Roman" w:cs="Times New Roman"/>
      <w:kern w:val="0"/>
      <w:sz w:val="20"/>
      <w:szCs w:val="20"/>
      <w:lang w:val="en-GB"/>
    </w:rPr>
  </w:style>
  <w:style w:type="paragraph" w:styleId="11">
    <w:name w:val="index 1"/>
    <w:basedOn w:val="a1"/>
    <w:next w:val="a1"/>
    <w:qFormat/>
    <w:pPr>
      <w:keepLines/>
    </w:pPr>
  </w:style>
  <w:style w:type="paragraph" w:styleId="2a">
    <w:name w:val="index 2"/>
    <w:basedOn w:val="11"/>
    <w:next w:val="a1"/>
    <w:qFormat/>
    <w:pPr>
      <w:ind w:left="284"/>
    </w:pPr>
  </w:style>
  <w:style w:type="paragraph" w:styleId="afff8">
    <w:name w:val="Title"/>
    <w:basedOn w:val="a1"/>
    <w:next w:val="a1"/>
    <w:link w:val="afff9"/>
    <w:qFormat/>
    <w:pPr>
      <w:spacing w:before="240" w:after="60"/>
      <w:ind w:left="1701" w:hanging="1701"/>
      <w:outlineLvl w:val="0"/>
    </w:pPr>
    <w:rPr>
      <w:rFonts w:ascii="Arial" w:hAnsi="Arial" w:cs="Arial"/>
      <w:b/>
      <w:bCs/>
      <w:kern w:val="28"/>
      <w:sz w:val="20"/>
      <w:szCs w:val="20"/>
      <w:lang w:val="en-GB" w:eastAsia="en-US"/>
    </w:rPr>
  </w:style>
  <w:style w:type="paragraph" w:styleId="afffa">
    <w:name w:val="annotation subject"/>
    <w:basedOn w:val="af4"/>
    <w:next w:val="af4"/>
    <w:link w:val="afffb"/>
    <w:uiPriority w:val="99"/>
    <w:qFormat/>
    <w:rPr>
      <w:b/>
      <w:bCs/>
    </w:rPr>
  </w:style>
  <w:style w:type="paragraph" w:styleId="afffc">
    <w:name w:val="Body Text First Indent"/>
    <w:basedOn w:val="afa"/>
    <w:link w:val="afffd"/>
    <w:unhideWhenUsed/>
    <w:qFormat/>
    <w:pPr>
      <w:widowControl/>
      <w:overflowPunct w:val="0"/>
      <w:autoSpaceDE w:val="0"/>
      <w:autoSpaceDN w:val="0"/>
      <w:adjustRightInd w:val="0"/>
      <w:spacing w:after="180"/>
      <w:ind w:firstLine="360"/>
    </w:pPr>
    <w:rPr>
      <w:rFonts w:ascii="Times New Roman" w:eastAsia="Times New Roman" w:hAnsi="Times New Roman" w:cs="Times New Roman"/>
      <w:kern w:val="0"/>
      <w:sz w:val="20"/>
      <w:szCs w:val="20"/>
      <w:lang w:val="en-GB"/>
    </w:rPr>
  </w:style>
  <w:style w:type="paragraph" w:styleId="2b">
    <w:name w:val="Body Text First Indent 2"/>
    <w:basedOn w:val="afc"/>
    <w:link w:val="2c"/>
    <w:unhideWhenUsed/>
    <w:qFormat/>
    <w:pPr>
      <w:spacing w:after="180"/>
      <w:ind w:left="360" w:firstLine="360"/>
    </w:pPr>
  </w:style>
  <w:style w:type="table" w:styleId="afffe">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3"/>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ff">
    <w:name w:val="Strong"/>
    <w:uiPriority w:val="22"/>
    <w:qFormat/>
    <w:rPr>
      <w:b/>
      <w:bCs/>
    </w:rPr>
  </w:style>
  <w:style w:type="character" w:styleId="affff0">
    <w:name w:val="page number"/>
    <w:basedOn w:val="a2"/>
    <w:qFormat/>
  </w:style>
  <w:style w:type="character" w:styleId="affff1">
    <w:name w:val="FollowedHyperlink"/>
    <w:uiPriority w:val="99"/>
    <w:unhideWhenUsed/>
    <w:qFormat/>
    <w:rPr>
      <w:color w:val="800080"/>
      <w:u w:val="single"/>
    </w:rPr>
  </w:style>
  <w:style w:type="character" w:styleId="affff2">
    <w:name w:val="Emphasis"/>
    <w:qFormat/>
    <w:rPr>
      <w:i/>
      <w:iCs/>
    </w:rPr>
  </w:style>
  <w:style w:type="character" w:styleId="affff3">
    <w:name w:val="Hyperlink"/>
    <w:qFormat/>
    <w:rPr>
      <w:color w:val="0000FF"/>
      <w:u w:val="single"/>
    </w:rPr>
  </w:style>
  <w:style w:type="character" w:styleId="HTML3">
    <w:name w:val="HTML Code"/>
    <w:uiPriority w:val="99"/>
    <w:unhideWhenUsed/>
    <w:qFormat/>
    <w:rPr>
      <w:rFonts w:ascii="Courier New" w:eastAsia="Times New Roman" w:hAnsi="Courier New" w:cs="Courier New"/>
      <w:sz w:val="20"/>
      <w:szCs w:val="20"/>
    </w:rPr>
  </w:style>
  <w:style w:type="character" w:styleId="affff4">
    <w:name w:val="annotation reference"/>
    <w:qFormat/>
    <w:rPr>
      <w:sz w:val="16"/>
      <w:szCs w:val="16"/>
    </w:rPr>
  </w:style>
  <w:style w:type="character" w:styleId="affff5">
    <w:name w:val="footnote reference"/>
    <w:qFormat/>
    <w:rPr>
      <w:b/>
      <w:position w:val="6"/>
      <w:sz w:val="16"/>
    </w:rPr>
  </w:style>
  <w:style w:type="paragraph" w:customStyle="1" w:styleId="Figure">
    <w:name w:val="Figure"/>
    <w:basedOn w:val="a1"/>
    <w:next w:val="ae"/>
    <w:qFormat/>
    <w:pPr>
      <w:keepNext/>
      <w:keepLines/>
      <w:spacing w:before="180"/>
      <w:jc w:val="center"/>
    </w:pPr>
  </w:style>
  <w:style w:type="paragraph" w:customStyle="1" w:styleId="3GPPHeader">
    <w:name w:val="3GPP_Header"/>
    <w:basedOn w:val="afa"/>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a1"/>
    <w:link w:val="NOChar"/>
    <w:qFormat/>
    <w:pPr>
      <w:keepLines/>
      <w:ind w:left="1135" w:hanging="851"/>
    </w:pPr>
  </w:style>
  <w:style w:type="paragraph" w:customStyle="1" w:styleId="Reference">
    <w:name w:val="Reference"/>
    <w:basedOn w:val="afa"/>
    <w:qFormat/>
    <w:pPr>
      <w:numPr>
        <w:numId w:val="12"/>
      </w:numPr>
    </w:pPr>
  </w:style>
  <w:style w:type="character" w:customStyle="1" w:styleId="10">
    <w:name w:val="标题 1 字符"/>
    <w:link w:val="1"/>
    <w:qFormat/>
    <w:rPr>
      <w:rFonts w:ascii="Arial" w:hAnsi="Arial"/>
      <w:sz w:val="36"/>
      <w:lang w:eastAsia="ja-JP"/>
    </w:rPr>
  </w:style>
  <w:style w:type="paragraph" w:customStyle="1" w:styleId="B10">
    <w:name w:val="B1"/>
    <w:basedOn w:val="a7"/>
    <w:link w:val="B1Char1"/>
    <w:qFormat/>
    <w:rPr>
      <w:rFonts w:ascii="Times New Roman" w:hAnsi="Times New Roman"/>
    </w:rPr>
  </w:style>
  <w:style w:type="paragraph" w:customStyle="1" w:styleId="B2">
    <w:name w:val="B2"/>
    <w:basedOn w:val="23"/>
    <w:link w:val="B2Char"/>
    <w:qFormat/>
    <w:rPr>
      <w:rFonts w:ascii="Times New Roman" w:hAnsi="Times New Roman"/>
    </w:rPr>
  </w:style>
  <w:style w:type="paragraph" w:customStyle="1" w:styleId="B3">
    <w:name w:val="B3"/>
    <w:basedOn w:val="33"/>
    <w:link w:val="B3Char2"/>
    <w:qFormat/>
    <w:rPr>
      <w:rFonts w:ascii="Times New Roman" w:hAnsi="Times New Roman"/>
    </w:rPr>
  </w:style>
  <w:style w:type="paragraph" w:customStyle="1" w:styleId="B4">
    <w:name w:val="B4"/>
    <w:basedOn w:val="46"/>
    <w:link w:val="B4Char"/>
    <w:qFormat/>
    <w:rPr>
      <w:rFonts w:ascii="Times New Roman" w:hAnsi="Times New Roman"/>
    </w:rPr>
  </w:style>
  <w:style w:type="paragraph" w:customStyle="1" w:styleId="Proposal">
    <w:name w:val="Proposal"/>
    <w:basedOn w:val="afa"/>
    <w:qFormat/>
    <w:pPr>
      <w:numPr>
        <w:numId w:val="13"/>
      </w:numPr>
      <w:tabs>
        <w:tab w:val="clear" w:pos="1304"/>
        <w:tab w:val="left" w:pos="720"/>
        <w:tab w:val="left" w:pos="1701"/>
      </w:tabs>
    </w:pPr>
    <w:rPr>
      <w:b/>
      <w:bCs/>
    </w:rPr>
  </w:style>
  <w:style w:type="character" w:customStyle="1" w:styleId="afb">
    <w:name w:val="正文文本 字符"/>
    <w:link w:val="afa"/>
    <w:qFormat/>
    <w:rPr>
      <w:rFonts w:ascii="Arial" w:hAnsi="Arial"/>
      <w:lang w:eastAsia="zh-CN"/>
    </w:rPr>
  </w:style>
  <w:style w:type="paragraph" w:customStyle="1" w:styleId="B5">
    <w:name w:val="B5"/>
    <w:basedOn w:val="55"/>
    <w:link w:val="B5Char"/>
    <w:qFormat/>
    <w:rPr>
      <w:rFonts w:ascii="Times New Roman" w:hAnsi="Times New Roman"/>
    </w:rPr>
  </w:style>
  <w:style w:type="paragraph" w:customStyle="1" w:styleId="EX">
    <w:name w:val="EX"/>
    <w:basedOn w:val="a1"/>
    <w:link w:val="EXChar"/>
    <w:qFormat/>
    <w:pPr>
      <w:keepLines/>
      <w:ind w:left="1702" w:hanging="1418"/>
    </w:pPr>
  </w:style>
  <w:style w:type="paragraph" w:customStyle="1" w:styleId="EW">
    <w:name w:val="EW"/>
    <w:basedOn w:val="EX"/>
    <w:qFormat/>
  </w:style>
  <w:style w:type="paragraph" w:customStyle="1" w:styleId="TAL">
    <w:name w:val="TAL"/>
    <w:basedOn w:val="a1"/>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a1"/>
    <w:qFormat/>
  </w:style>
  <w:style w:type="paragraph" w:customStyle="1" w:styleId="Observation">
    <w:name w:val="Observation"/>
    <w:basedOn w:val="Proposal"/>
    <w:qFormat/>
    <w:pPr>
      <w:numPr>
        <w:numId w:val="14"/>
      </w:numPr>
      <w:tabs>
        <w:tab w:val="clear" w:pos="1304"/>
      </w:tabs>
    </w:pPr>
    <w:rPr>
      <w:lang w:eastAsia="ja-JP"/>
    </w:rPr>
  </w:style>
  <w:style w:type="character" w:customStyle="1" w:styleId="B1Char1">
    <w:name w:val="B1 Char1"/>
    <w:link w:val="B10"/>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link w:val="B8Char"/>
    <w:qFormat/>
    <w:pPr>
      <w:ind w:left="2552"/>
    </w:pPr>
  </w:style>
  <w:style w:type="character" w:customStyle="1" w:styleId="aff7">
    <w:name w:val="批注框文本 字符"/>
    <w:link w:val="aff6"/>
    <w:uiPriority w:val="99"/>
    <w:qFormat/>
    <w:rPr>
      <w:rFonts w:ascii="Segoe UI" w:hAnsi="Segoe UI" w:cs="Segoe UI"/>
      <w:sz w:val="18"/>
      <w:szCs w:val="18"/>
      <w:lang w:eastAsia="ja-JP"/>
    </w:rPr>
  </w:style>
  <w:style w:type="character" w:customStyle="1" w:styleId="af5">
    <w:name w:val="批注文字 字符"/>
    <w:link w:val="af4"/>
    <w:uiPriority w:val="99"/>
    <w:qFormat/>
    <w:rPr>
      <w:rFonts w:ascii="Times New Roman" w:hAnsi="Times New Roman"/>
      <w:lang w:eastAsia="ja-JP"/>
    </w:rPr>
  </w:style>
  <w:style w:type="character" w:customStyle="1" w:styleId="afffb">
    <w:name w:val="批注主题 字符"/>
    <w:link w:val="afffa"/>
    <w:uiPriority w:val="99"/>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f2">
    <w:name w:val="文档结构图 字符"/>
    <w:link w:val="af1"/>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pPr>
      <w:numPr>
        <w:numId w:val="15"/>
      </w:numPr>
      <w:spacing w:before="40"/>
    </w:pPr>
    <w:rPr>
      <w:rFonts w:ascii="Arial" w:eastAsia="MS Mincho" w:hAnsi="Arial"/>
      <w:b/>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affb">
    <w:name w:val="页眉 字符"/>
    <w:link w:val="aff9"/>
    <w:qFormat/>
    <w:rPr>
      <w:rFonts w:ascii="Arial" w:hAnsi="Arial"/>
      <w:b/>
      <w:sz w:val="18"/>
      <w:lang w:eastAsia="ja-JP"/>
    </w:rPr>
  </w:style>
  <w:style w:type="character" w:customStyle="1" w:styleId="affa">
    <w:name w:val="页脚 字符"/>
    <w:link w:val="aff8"/>
    <w:qFormat/>
    <w:rPr>
      <w:rFonts w:ascii="Arial" w:hAnsi="Arial"/>
      <w:b/>
      <w:i/>
      <w:sz w:val="18"/>
      <w:lang w:eastAsia="ja-JP"/>
    </w:rPr>
  </w:style>
  <w:style w:type="character" w:customStyle="1" w:styleId="afff3">
    <w:name w:val="脚注文本 字符"/>
    <w:link w:val="afff2"/>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2">
    <w:name w:val="标题 2 字符"/>
    <w:link w:val="20"/>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3">
    <w:name w:val="标题 4 字符"/>
    <w:link w:val="42"/>
    <w:qFormat/>
    <w:rPr>
      <w:rFonts w:ascii="Arial" w:hAnsi="Arial"/>
      <w:sz w:val="24"/>
      <w:lang w:eastAsia="ja-JP"/>
    </w:rPr>
  </w:style>
  <w:style w:type="character" w:customStyle="1" w:styleId="52">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affff6">
    <w:name w:val="List Paragraph"/>
    <w:basedOn w:val="a1"/>
    <w:link w:val="affff7"/>
    <w:uiPriority w:val="34"/>
    <w:qFormat/>
    <w:pPr>
      <w:ind w:left="720"/>
    </w:pPr>
    <w:rPr>
      <w:rFonts w:ascii="Calibri" w:eastAsia="Calibri" w:hAnsi="Calibri"/>
      <w:lang w:val="zh-CN"/>
    </w:rPr>
  </w:style>
  <w:style w:type="character" w:customStyle="1" w:styleId="affff7">
    <w:name w:val="列表段落 字符"/>
    <w:link w:val="affff6"/>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f1">
    <w:name w:val="纯文本 字符"/>
    <w:link w:val="aff0"/>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3">
    <w:name w:val="未处理的提及1"/>
    <w:basedOn w:val="a2"/>
    <w:uiPriority w:val="99"/>
    <w:semiHidden/>
    <w:unhideWhenUsed/>
    <w:qFormat/>
    <w:rPr>
      <w:color w:val="808080"/>
      <w:shd w:val="clear" w:color="auto" w:fill="E6E6E6"/>
    </w:rPr>
  </w:style>
  <w:style w:type="paragraph" w:customStyle="1" w:styleId="IvDbodytext">
    <w:name w:val="IvD bodytext"/>
    <w:basedOn w:val="afa"/>
    <w:link w:val="IvDbodytextChar"/>
    <w:qFormat/>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qFormat/>
    <w:rPr>
      <w:rFonts w:ascii="Arial" w:hAnsi="Arial"/>
      <w:spacing w:val="2"/>
      <w:lang w:val="en-US" w:eastAsia="en-US"/>
    </w:rPr>
  </w:style>
  <w:style w:type="paragraph" w:customStyle="1" w:styleId="Agreement">
    <w:name w:val="Agreement"/>
    <w:basedOn w:val="a1"/>
    <w:next w:val="Doc-text2"/>
    <w:uiPriority w:val="99"/>
    <w:qFormat/>
    <w:pPr>
      <w:numPr>
        <w:numId w:val="16"/>
      </w:numPr>
      <w:tabs>
        <w:tab w:val="left" w:pos="360"/>
      </w:tabs>
      <w:spacing w:before="60"/>
    </w:pPr>
    <w:rPr>
      <w:rFonts w:ascii="Arial" w:eastAsia="MS Mincho" w:hAnsi="Arial" w:cs="Times New Roman"/>
      <w:b/>
      <w:sz w:val="20"/>
      <w:lang w:eastAsia="en-GB"/>
    </w:rPr>
  </w:style>
  <w:style w:type="paragraph" w:customStyle="1" w:styleId="EmailDiscussion2">
    <w:name w:val="EmailDiscussion2"/>
    <w:basedOn w:val="Doc-text2"/>
    <w:uiPriority w:val="99"/>
    <w:qFormat/>
    <w:rPr>
      <w:rFonts w:cs="Times New Roman"/>
      <w:sz w:val="20"/>
      <w:lang w:val="en-GB" w:eastAsia="en-GB"/>
    </w:rPr>
  </w:style>
  <w:style w:type="character" w:customStyle="1" w:styleId="CommentsChar">
    <w:name w:val="Comments Char"/>
    <w:basedOn w:val="a2"/>
    <w:link w:val="Comments"/>
    <w:qFormat/>
    <w:locked/>
    <w:rPr>
      <w:rFonts w:ascii="Arial" w:hAnsi="Arial" w:cs="Arial"/>
      <w:i/>
      <w:iCs/>
    </w:rPr>
  </w:style>
  <w:style w:type="paragraph" w:customStyle="1" w:styleId="Comments">
    <w:name w:val="Comments"/>
    <w:basedOn w:val="a1"/>
    <w:link w:val="CommentsChar"/>
    <w:qFormat/>
    <w:pPr>
      <w:spacing w:before="40"/>
    </w:pPr>
    <w:rPr>
      <w:rFonts w:ascii="Arial" w:hAnsi="Arial" w:cs="Arial"/>
      <w:i/>
      <w:iCs/>
      <w:sz w:val="20"/>
      <w:szCs w:val="20"/>
      <w:lang w:val="en-GB" w:eastAsia="en-GB"/>
    </w:rPr>
  </w:style>
  <w:style w:type="character" w:customStyle="1" w:styleId="B1Char">
    <w:name w:val="B1 Char"/>
    <w:qFormat/>
    <w:locked/>
    <w:rPr>
      <w:rFonts w:ascii="Times New Roman" w:eastAsia="等线" w:hAnsi="Times New Roman" w:cs="Times New Roman"/>
      <w:color w:val="000000"/>
      <w:kern w:val="0"/>
      <w:sz w:val="20"/>
      <w:szCs w:val="20"/>
      <w:lang w:val="en-GB" w:eastAsia="ja-JP"/>
    </w:rPr>
  </w:style>
  <w:style w:type="character" w:customStyle="1" w:styleId="NOZchn">
    <w:name w:val="NO Zchn"/>
    <w:qFormat/>
    <w:rPr>
      <w:lang w:eastAsia="en-US"/>
    </w:rPr>
  </w:style>
  <w:style w:type="character" w:customStyle="1" w:styleId="WW8Num2z1">
    <w:name w:val="WW8Num2z1"/>
    <w:qFormat/>
    <w:rPr>
      <w:rFonts w:ascii="Courier New" w:hAnsi="Courier New" w:cs="Courier New" w:hint="default"/>
    </w:rPr>
  </w:style>
  <w:style w:type="paragraph" w:customStyle="1" w:styleId="proposaltext">
    <w:name w:val="proposal text"/>
    <w:basedOn w:val="a1"/>
    <w:qFormat/>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qFormat/>
    <w:rPr>
      <w:rFonts w:ascii="Times New Roman" w:hAnsi="Times New Roman"/>
      <w:lang w:val="en-GB"/>
    </w:rPr>
  </w:style>
  <w:style w:type="character" w:customStyle="1" w:styleId="TALChar">
    <w:name w:val="TAL Char"/>
    <w:qFormat/>
    <w:rPr>
      <w:rFonts w:ascii="Arial" w:eastAsia="Times New Roman" w:hAnsi="Arial"/>
      <w:sz w:val="18"/>
    </w:rPr>
  </w:style>
  <w:style w:type="character" w:customStyle="1" w:styleId="TAHChar">
    <w:name w:val="TAH Char"/>
    <w:qFormat/>
    <w:rPr>
      <w:rFonts w:ascii="Arial" w:eastAsia="Times New Roman" w:hAnsi="Arial"/>
      <w:b/>
      <w:sz w:val="18"/>
    </w:rPr>
  </w:style>
  <w:style w:type="character" w:customStyle="1" w:styleId="TACChar">
    <w:name w:val="TAC Char"/>
    <w:link w:val="TAC"/>
    <w:qFormat/>
    <w:locked/>
    <w:rPr>
      <w:rFonts w:ascii="Arial" w:hAnsi="Arial" w:cstheme="minorBidi"/>
      <w:kern w:val="2"/>
      <w:sz w:val="18"/>
      <w:szCs w:val="22"/>
      <w:lang w:val="zh-CN" w:eastAsia="zh-CN"/>
    </w:rPr>
  </w:style>
  <w:style w:type="paragraph" w:customStyle="1" w:styleId="FL">
    <w:name w:val="FL"/>
    <w:basedOn w:val="a1"/>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customStyle="1" w:styleId="14">
    <w:name w:val="修订1"/>
    <w:hidden/>
    <w:uiPriority w:val="99"/>
    <w:semiHidden/>
    <w:qFormat/>
    <w:rPr>
      <w:rFonts w:eastAsia="Times New Roman"/>
      <w:lang w:val="en-GB" w:eastAsia="en-US"/>
    </w:rPr>
  </w:style>
  <w:style w:type="paragraph" w:customStyle="1" w:styleId="B1">
    <w:name w:val="B1+"/>
    <w:basedOn w:val="B10"/>
    <w:link w:val="B1Car"/>
    <w:qFormat/>
    <w:pPr>
      <w:numPr>
        <w:numId w:val="17"/>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qFormat/>
    <w:rPr>
      <w:rFonts w:ascii="Times New Roman" w:eastAsia="Times New Roman" w:hAnsi="Times New Roman"/>
      <w:kern w:val="2"/>
    </w:rPr>
  </w:style>
  <w:style w:type="character" w:customStyle="1" w:styleId="TFZchn">
    <w:name w:val="TF Zchn"/>
    <w:qFormat/>
    <w:rPr>
      <w:rFonts w:ascii="Arial" w:eastAsia="Times New Roman" w:hAnsi="Arial"/>
      <w:b/>
    </w:rPr>
  </w:style>
  <w:style w:type="character" w:customStyle="1" w:styleId="B1Zchn">
    <w:name w:val="B1 Zchn"/>
    <w:qFormat/>
    <w:locked/>
    <w:rPr>
      <w:lang w:val="en-GB" w:eastAsia="en-US"/>
    </w:rPr>
  </w:style>
  <w:style w:type="paragraph" w:customStyle="1" w:styleId="DECISION">
    <w:name w:val="DECISION"/>
    <w:basedOn w:val="a1"/>
    <w:qFormat/>
    <w:pPr>
      <w:numPr>
        <w:numId w:val="18"/>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qFormat/>
    <w:pPr>
      <w:spacing w:before="100" w:beforeAutospacing="1" w:after="100" w:afterAutospacing="1"/>
    </w:pPr>
    <w:rPr>
      <w:rFonts w:ascii="Times New Roman" w:eastAsia="Times New Roman" w:hAnsi="Times New Roman" w:cs="Times New Roman"/>
      <w:sz w:val="24"/>
      <w:lang w:eastAsia="en-US"/>
    </w:rPr>
  </w:style>
  <w:style w:type="paragraph" w:customStyle="1" w:styleId="40">
    <w:name w:val="标题4"/>
    <w:basedOn w:val="a1"/>
    <w:qFormat/>
    <w:pPr>
      <w:numPr>
        <w:numId w:val="19"/>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Pr>
      <w:rFonts w:asciiTheme="minorHAnsi" w:hAnsiTheme="minorHAnsi" w:cstheme="minorBidi"/>
      <w:kern w:val="2"/>
      <w:sz w:val="21"/>
      <w:szCs w:val="22"/>
      <w:lang w:val="en-US" w:eastAsia="zh-CN"/>
    </w:rPr>
  </w:style>
  <w:style w:type="character" w:customStyle="1" w:styleId="H6Char">
    <w:name w:val="H6 Char"/>
    <w:link w:val="H6"/>
    <w:qFormat/>
    <w:rPr>
      <w:rFonts w:ascii="Arial" w:hAnsi="Arial"/>
      <w:lang w:eastAsia="ja-JP"/>
    </w:rPr>
  </w:style>
  <w:style w:type="paragraph" w:customStyle="1" w:styleId="FirstChange">
    <w:name w:val="First Change"/>
    <w:basedOn w:val="a1"/>
    <w:qFormat/>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basedOn w:val="a1"/>
    <w:qFormat/>
    <w:pPr>
      <w:keepNext/>
      <w:keepLines/>
      <w:overflowPunct w:val="0"/>
      <w:autoSpaceDE w:val="0"/>
      <w:autoSpaceDN w:val="0"/>
      <w:adjustRightInd w:val="0"/>
      <w:ind w:leftChars="300" w:left="600"/>
      <w:textAlignment w:val="baseline"/>
    </w:pPr>
    <w:rPr>
      <w:rFonts w:ascii="Arial" w:eastAsia="Times New Roman" w:hAnsi="Arial" w:cs="Arial"/>
      <w:sz w:val="18"/>
      <w:szCs w:val="18"/>
      <w:lang w:val="en-GB" w:eastAsia="ja-JP"/>
    </w:rPr>
  </w:style>
  <w:style w:type="paragraph" w:customStyle="1" w:styleId="affff8">
    <w:name w:val="插图题注"/>
    <w:basedOn w:val="a1"/>
    <w:qFormat/>
    <w:pPr>
      <w:spacing w:after="180"/>
    </w:pPr>
    <w:rPr>
      <w:rFonts w:ascii="Times New Roman" w:eastAsia="宋体" w:hAnsi="Times New Roman" w:cs="Times New Roman"/>
      <w:sz w:val="20"/>
      <w:szCs w:val="20"/>
      <w:lang w:val="en-GB" w:eastAsia="en-US"/>
    </w:rPr>
  </w:style>
  <w:style w:type="paragraph" w:customStyle="1" w:styleId="affff9">
    <w:name w:val="表格题注"/>
    <w:basedOn w:val="a1"/>
    <w:qFormat/>
    <w:pPr>
      <w:spacing w:after="180"/>
    </w:pPr>
    <w:rPr>
      <w:rFonts w:ascii="Times New Roman" w:eastAsia="宋体" w:hAnsi="Times New Roman" w:cs="Times New Roman"/>
      <w:sz w:val="20"/>
      <w:szCs w:val="20"/>
      <w:lang w:val="en-GB" w:eastAsia="en-US"/>
    </w:rPr>
  </w:style>
  <w:style w:type="character" w:customStyle="1" w:styleId="15">
    <w:name w:val="15"/>
    <w:qFormat/>
    <w:rPr>
      <w:rFonts w:ascii="CG Times (WN)" w:hAnsi="CG Times (WN)" w:hint="default"/>
      <w:i/>
      <w:iCs/>
    </w:rPr>
  </w:style>
  <w:style w:type="paragraph" w:customStyle="1" w:styleId="tah0">
    <w:name w:val="tah"/>
    <w:basedOn w:val="a1"/>
    <w:qFormat/>
    <w:pPr>
      <w:spacing w:before="100" w:beforeAutospacing="1" w:after="100" w:afterAutospacing="1"/>
    </w:pPr>
    <w:rPr>
      <w:rFonts w:ascii="Times New Roman" w:eastAsia="Calibri" w:hAnsi="Times New Roman" w:cs="Times New Roman"/>
      <w:sz w:val="24"/>
      <w:lang w:eastAsia="en-GB"/>
    </w:rPr>
  </w:style>
  <w:style w:type="character" w:customStyle="1" w:styleId="st">
    <w:name w:val="st"/>
    <w:qFormat/>
  </w:style>
  <w:style w:type="table" w:customStyle="1" w:styleId="16">
    <w:name w:val="网格型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题注 字符"/>
    <w:link w:val="ae"/>
    <w:qFormat/>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pPr>
      <w:spacing w:before="60"/>
      <w:ind w:left="1259" w:hanging="1259"/>
    </w:pPr>
    <w:rPr>
      <w:rFonts w:ascii="Arial" w:eastAsia="MS Mincho" w:hAnsi="Arial" w:cs="Times New Roman"/>
      <w:kern w:val="0"/>
      <w:sz w:val="20"/>
      <w:lang w:val="en-GB" w:eastAsia="en-GB"/>
    </w:rPr>
  </w:style>
  <w:style w:type="character" w:customStyle="1" w:styleId="Doc-titleChar">
    <w:name w:val="Doc-title Char"/>
    <w:link w:val="Doc-title"/>
    <w:qFormat/>
    <w:rPr>
      <w:rFonts w:ascii="Arial" w:eastAsia="MS Mincho" w:hAnsi="Arial"/>
      <w:szCs w:val="24"/>
    </w:rPr>
  </w:style>
  <w:style w:type="paragraph" w:customStyle="1" w:styleId="MiniHeading">
    <w:name w:val="MiniHeading"/>
    <w:basedOn w:val="Comments"/>
    <w:qFormat/>
    <w:pPr>
      <w:spacing w:before="180"/>
    </w:pPr>
    <w:rPr>
      <w:rFonts w:eastAsia="MS Mincho" w:cs="Times New Roman"/>
      <w:iCs w:val="0"/>
      <w:kern w:val="0"/>
      <w:sz w:val="18"/>
      <w:szCs w:val="24"/>
      <w:u w:val="single"/>
      <w:lang w:val="en-US"/>
    </w:rPr>
  </w:style>
  <w:style w:type="character" w:customStyle="1" w:styleId="B3Char">
    <w:name w:val="B3 Char"/>
    <w:qFormat/>
    <w:rPr>
      <w:rFonts w:eastAsia="Times New Roman"/>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lang w:val="sv-SE" w:eastAsia="ko-KR"/>
    </w:rPr>
  </w:style>
  <w:style w:type="character" w:customStyle="1" w:styleId="apple-converted-space">
    <w:name w:val="apple-converted-space"/>
    <w:basedOn w:val="a2"/>
    <w:qFormat/>
  </w:style>
  <w:style w:type="character" w:customStyle="1" w:styleId="28">
    <w:name w:val="正文文本 2 字符"/>
    <w:basedOn w:val="a2"/>
    <w:link w:val="27"/>
    <w:qFormat/>
    <w:rPr>
      <w:rFonts w:ascii="Times New Roman" w:eastAsia="MS Mincho" w:hAnsi="Times New Roman"/>
      <w:sz w:val="24"/>
      <w:lang w:eastAsia="en-US"/>
    </w:rPr>
  </w:style>
  <w:style w:type="paragraph" w:customStyle="1" w:styleId="b30">
    <w:name w:val="b3"/>
    <w:basedOn w:val="a1"/>
    <w:qFormat/>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character" w:customStyle="1" w:styleId="B8Char">
    <w:name w:val="B8 Char"/>
    <w:link w:val="B8"/>
    <w:qFormat/>
    <w:rPr>
      <w:rFonts w:ascii="Times New Roman" w:hAnsi="Times New Roman" w:cstheme="minorBidi"/>
      <w:kern w:val="2"/>
      <w:sz w:val="21"/>
      <w:szCs w:val="22"/>
      <w:lang w:val="en-US" w:eastAsia="ja-JP"/>
    </w:rPr>
  </w:style>
  <w:style w:type="character" w:customStyle="1" w:styleId="ui-provider">
    <w:name w:val="ui-provider"/>
    <w:basedOn w:val="a2"/>
    <w:qFormat/>
  </w:style>
  <w:style w:type="table" w:customStyle="1" w:styleId="2d">
    <w:name w:val="网格型2"/>
    <w:basedOn w:val="a3"/>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qFormat/>
    <w:pPr>
      <w:spacing w:before="100" w:beforeAutospacing="1" w:after="100" w:afterAutospacing="1"/>
      <w:ind w:left="1120"/>
    </w:pPr>
    <w:rPr>
      <w:rFonts w:ascii="Times New Roman" w:eastAsia="Times New Roman" w:hAnsi="Times New Roman" w:cs="Times New Roman"/>
      <w:kern w:val="0"/>
      <w:sz w:val="24"/>
      <w:lang w:eastAsia="en-US"/>
    </w:rPr>
  </w:style>
  <w:style w:type="table" w:customStyle="1" w:styleId="3a">
    <w:name w:val="网格型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标题 字符"/>
    <w:basedOn w:val="a2"/>
    <w:link w:val="afff8"/>
    <w:qFormat/>
    <w:rPr>
      <w:rFonts w:ascii="Arial" w:hAnsi="Arial" w:cs="Arial"/>
      <w:b/>
      <w:bCs/>
      <w:kern w:val="28"/>
      <w:lang w:eastAsia="en-US"/>
    </w:rPr>
  </w:style>
  <w:style w:type="paragraph" w:customStyle="1" w:styleId="2e">
    <w:name w:val="修订2"/>
    <w:hidden/>
    <w:uiPriority w:val="99"/>
    <w:unhideWhenUsed/>
    <w:qFormat/>
    <w:rPr>
      <w:rFonts w:asciiTheme="minorHAnsi" w:eastAsiaTheme="minorEastAsia" w:hAnsiTheme="minorHAnsi" w:cstheme="minorBidi"/>
      <w:kern w:val="2"/>
      <w:sz w:val="21"/>
      <w:szCs w:val="22"/>
      <w14:ligatures w14:val="standardContextual"/>
    </w:rPr>
  </w:style>
  <w:style w:type="paragraph" w:customStyle="1" w:styleId="3b">
    <w:name w:val="修订3"/>
    <w:hidden/>
    <w:uiPriority w:val="99"/>
    <w:unhideWhenUsed/>
    <w:qFormat/>
    <w:rPr>
      <w:rFonts w:asciiTheme="minorHAnsi" w:eastAsiaTheme="minorEastAsia" w:hAnsiTheme="minorHAnsi" w:cstheme="minorBidi"/>
      <w:kern w:val="2"/>
      <w:sz w:val="21"/>
      <w:szCs w:val="22"/>
      <w14:ligatures w14:val="standardContextual"/>
    </w:rPr>
  </w:style>
  <w:style w:type="paragraph" w:customStyle="1" w:styleId="48">
    <w:name w:val="修订4"/>
    <w:hidden/>
    <w:uiPriority w:val="99"/>
    <w:unhideWhenUsed/>
    <w:qFormat/>
    <w:rPr>
      <w:rFonts w:asciiTheme="minorHAnsi" w:eastAsiaTheme="minorEastAsia" w:hAnsiTheme="minorHAnsi" w:cstheme="minorBidi"/>
      <w:kern w:val="2"/>
      <w:sz w:val="21"/>
      <w:szCs w:val="22"/>
    </w:rPr>
  </w:style>
  <w:style w:type="paragraph" w:customStyle="1" w:styleId="56">
    <w:name w:val="修订5"/>
    <w:hidden/>
    <w:uiPriority w:val="99"/>
    <w:unhideWhenUsed/>
    <w:qFormat/>
    <w:rPr>
      <w:rFonts w:asciiTheme="minorHAnsi" w:eastAsiaTheme="minorEastAsia" w:hAnsiTheme="minorHAnsi" w:cstheme="minorBidi"/>
      <w:kern w:val="2"/>
      <w:sz w:val="21"/>
      <w:szCs w:val="22"/>
    </w:rPr>
  </w:style>
  <w:style w:type="paragraph" w:customStyle="1" w:styleId="62">
    <w:name w:val="修订6"/>
    <w:hidden/>
    <w:uiPriority w:val="99"/>
    <w:unhideWhenUsed/>
    <w:qFormat/>
    <w:rPr>
      <w:rFonts w:asciiTheme="minorHAnsi" w:eastAsiaTheme="minorEastAsia" w:hAnsiTheme="minorHAnsi" w:cstheme="minorBidi"/>
      <w:kern w:val="2"/>
      <w:sz w:val="21"/>
      <w:szCs w:val="22"/>
    </w:rPr>
  </w:style>
  <w:style w:type="paragraph" w:customStyle="1" w:styleId="72">
    <w:name w:val="修订7"/>
    <w:hidden/>
    <w:uiPriority w:val="99"/>
    <w:unhideWhenUsed/>
    <w:qFormat/>
    <w:rPr>
      <w:rFonts w:asciiTheme="minorHAnsi" w:eastAsiaTheme="minorEastAsia" w:hAnsiTheme="minorHAnsi" w:cstheme="minorBidi"/>
      <w:kern w:val="2"/>
      <w:sz w:val="22"/>
      <w:szCs w:val="24"/>
      <w14:ligatures w14:val="standardContextual"/>
    </w:rPr>
  </w:style>
  <w:style w:type="paragraph" w:customStyle="1" w:styleId="82">
    <w:name w:val="修订8"/>
    <w:hidden/>
    <w:uiPriority w:val="99"/>
    <w:unhideWhenUsed/>
    <w:qFormat/>
    <w:rPr>
      <w:rFonts w:asciiTheme="minorHAnsi" w:eastAsiaTheme="minorEastAsia" w:hAnsiTheme="minorHAnsi" w:cstheme="minorBidi"/>
      <w:kern w:val="2"/>
      <w:sz w:val="22"/>
      <w:szCs w:val="24"/>
      <w14:ligatures w14:val="standardContextual"/>
    </w:rPr>
  </w:style>
  <w:style w:type="paragraph" w:customStyle="1" w:styleId="92">
    <w:name w:val="修订9"/>
    <w:hidden/>
    <w:uiPriority w:val="99"/>
    <w:unhideWhenUsed/>
    <w:qFormat/>
    <w:rPr>
      <w:rFonts w:asciiTheme="minorHAnsi" w:eastAsiaTheme="minorEastAsia" w:hAnsiTheme="minorHAnsi" w:cstheme="minorBidi"/>
      <w:kern w:val="2"/>
      <w:sz w:val="22"/>
      <w:szCs w:val="24"/>
      <w14:ligatures w14:val="standardContextual"/>
    </w:rPr>
  </w:style>
  <w:style w:type="paragraph" w:customStyle="1" w:styleId="100">
    <w:name w:val="修订10"/>
    <w:hidden/>
    <w:uiPriority w:val="99"/>
    <w:unhideWhenUsed/>
    <w:qFormat/>
    <w:rPr>
      <w:rFonts w:asciiTheme="minorHAnsi" w:eastAsiaTheme="minorEastAsia" w:hAnsiTheme="minorHAnsi" w:cstheme="minorBidi"/>
      <w:kern w:val="2"/>
      <w:sz w:val="22"/>
      <w:szCs w:val="24"/>
      <w14:ligatures w14:val="standardContextual"/>
    </w:rPr>
  </w:style>
  <w:style w:type="paragraph" w:customStyle="1" w:styleId="110">
    <w:name w:val="修订11"/>
    <w:hidden/>
    <w:uiPriority w:val="99"/>
    <w:unhideWhenUsed/>
    <w:qFormat/>
    <w:rPr>
      <w:rFonts w:asciiTheme="minorHAnsi" w:eastAsiaTheme="minorEastAsia" w:hAnsiTheme="minorHAnsi" w:cstheme="minorBidi"/>
      <w:kern w:val="2"/>
      <w:sz w:val="22"/>
      <w:szCs w:val="24"/>
      <w14:ligatures w14:val="standardContextual"/>
    </w:rPr>
  </w:style>
  <w:style w:type="paragraph" w:customStyle="1" w:styleId="120">
    <w:name w:val="修订12"/>
    <w:hidden/>
    <w:uiPriority w:val="99"/>
    <w:unhideWhenUsed/>
    <w:qFormat/>
    <w:rPr>
      <w:rFonts w:asciiTheme="minorHAnsi" w:eastAsiaTheme="minorEastAsia" w:hAnsiTheme="minorHAnsi" w:cstheme="minorBidi"/>
      <w:kern w:val="2"/>
      <w:sz w:val="21"/>
      <w:szCs w:val="22"/>
    </w:rPr>
  </w:style>
  <w:style w:type="character" w:customStyle="1" w:styleId="410">
    <w:name w:val="标题 4 字符1"/>
    <w:basedOn w:val="a2"/>
    <w:semiHidden/>
    <w:qFormat/>
    <w:rPr>
      <w:rFonts w:asciiTheme="minorHAnsi" w:eastAsiaTheme="minorEastAsia" w:hAnsiTheme="minorHAnsi" w:cstheme="majorBidi"/>
      <w:color w:val="2F5496" w:themeColor="accent1" w:themeShade="BF"/>
      <w:sz w:val="28"/>
      <w:szCs w:val="28"/>
      <w:lang w:val="en-GB" w:eastAsia="ja-JP"/>
    </w:rPr>
  </w:style>
  <w:style w:type="character" w:customStyle="1" w:styleId="17">
    <w:name w:val="页眉 字符1"/>
    <w:basedOn w:val="a2"/>
    <w:semiHidden/>
    <w:qFormat/>
    <w:rPr>
      <w:rFonts w:eastAsia="Times New Roman"/>
      <w:sz w:val="18"/>
      <w:szCs w:val="18"/>
      <w:lang w:val="en-GB" w:eastAsia="ja-JP"/>
    </w:rPr>
  </w:style>
  <w:style w:type="character" w:customStyle="1" w:styleId="24">
    <w:name w:val="列表项目符号 2 字符"/>
    <w:link w:val="2"/>
    <w:qFormat/>
    <w:locked/>
    <w:rPr>
      <w:rFonts w:asciiTheme="minorHAnsi" w:eastAsiaTheme="minorEastAsia" w:hAnsiTheme="minorHAnsi" w:cstheme="minorBidi"/>
      <w:kern w:val="2"/>
      <w:sz w:val="21"/>
      <w:szCs w:val="22"/>
      <w:lang w:eastAsia="ja-JP"/>
    </w:rPr>
  </w:style>
  <w:style w:type="character" w:customStyle="1" w:styleId="35">
    <w:name w:val="正文文本 3 字符"/>
    <w:basedOn w:val="a2"/>
    <w:link w:val="34"/>
    <w:qFormat/>
    <w:rPr>
      <w:rFonts w:eastAsia="Times New Roman"/>
      <w:sz w:val="16"/>
      <w:szCs w:val="16"/>
      <w:lang w:val="en-GB" w:eastAsia="ja-JP"/>
    </w:rPr>
  </w:style>
  <w:style w:type="paragraph" w:customStyle="1" w:styleId="B9">
    <w:name w:val="B9"/>
    <w:basedOn w:val="B8"/>
    <w:qFormat/>
    <w:pPr>
      <w:widowControl/>
      <w:overflowPunct w:val="0"/>
      <w:autoSpaceDE w:val="0"/>
      <w:autoSpaceDN w:val="0"/>
      <w:adjustRightInd w:val="0"/>
      <w:spacing w:after="180"/>
      <w:ind w:left="2836"/>
    </w:pPr>
    <w:rPr>
      <w:rFonts w:eastAsia="Times New Roman" w:cs="Times New Roman"/>
      <w:kern w:val="0"/>
      <w:sz w:val="20"/>
      <w:szCs w:val="20"/>
    </w:rPr>
  </w:style>
  <w:style w:type="character" w:customStyle="1" w:styleId="B10Char">
    <w:name w:val="B10 Char"/>
    <w:basedOn w:val="B5Char"/>
    <w:link w:val="B100"/>
    <w:qFormat/>
    <w:locked/>
    <w:rPr>
      <w:rFonts w:ascii="Times New Roman" w:eastAsia="Times New Roman" w:hAnsi="Times New Roman"/>
      <w:lang w:val="en-GB" w:eastAsia="ja-JP"/>
    </w:rPr>
  </w:style>
  <w:style w:type="paragraph" w:customStyle="1" w:styleId="B100">
    <w:name w:val="B10"/>
    <w:basedOn w:val="B5"/>
    <w:link w:val="B10Char"/>
    <w:qFormat/>
    <w:pPr>
      <w:widowControl/>
      <w:overflowPunct w:val="0"/>
      <w:autoSpaceDE w:val="0"/>
      <w:autoSpaceDN w:val="0"/>
      <w:adjustRightInd w:val="0"/>
      <w:spacing w:after="180"/>
      <w:ind w:left="3119"/>
    </w:pPr>
    <w:rPr>
      <w:rFonts w:eastAsia="Times New Roman" w:cs="Times New Roman"/>
      <w:kern w:val="0"/>
      <w:sz w:val="20"/>
      <w:szCs w:val="20"/>
      <w:lang w:val="en-GB"/>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fa"/>
    <w:link w:val="3GPPNormalTextChar"/>
    <w:qFormat/>
    <w:pPr>
      <w:widowControl/>
      <w:autoSpaceDN w:val="0"/>
      <w:spacing w:line="256" w:lineRule="auto"/>
      <w:ind w:hanging="22"/>
    </w:pPr>
    <w:rPr>
      <w:rFonts w:eastAsia="MS Mincho" w:cs="Arial"/>
      <w:kern w:val="0"/>
      <w:sz w:val="24"/>
      <w:lang w:val="en-GB" w:eastAsia="en-US"/>
    </w:rPr>
  </w:style>
  <w:style w:type="paragraph" w:customStyle="1" w:styleId="pl0">
    <w:name w:val="pl"/>
    <w:basedOn w:val="a1"/>
    <w:qFormat/>
    <w:pPr>
      <w:widowControl/>
      <w:autoSpaceDN w:val="0"/>
      <w:spacing w:before="100" w:beforeAutospacing="1" w:after="100" w:afterAutospacing="1"/>
    </w:pPr>
    <w:rPr>
      <w:rFonts w:ascii="Times New Roman" w:eastAsia="Times New Roman" w:hAnsi="Times New Roman" w:cs="Times New Roman"/>
      <w:kern w:val="0"/>
      <w:sz w:val="24"/>
      <w:lang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5"/>
    <w:next w:val="EditorsNote"/>
    <w:link w:val="EditorsnoteChar0"/>
    <w:qFormat/>
    <w:pPr>
      <w:widowControl/>
      <w:overflowPunct w:val="0"/>
      <w:autoSpaceDE w:val="0"/>
      <w:autoSpaceDN w:val="0"/>
      <w:adjustRightInd w:val="0"/>
      <w:spacing w:after="180"/>
    </w:pPr>
    <w:rPr>
      <w:rFonts w:ascii="Times New Roman" w:eastAsia="Times New Roman" w:hAnsi="Times New Roman" w:cs="Times New Roman"/>
      <w:kern w:val="0"/>
      <w:sz w:val="20"/>
      <w:szCs w:val="20"/>
      <w:lang w:val="en-GB"/>
    </w:rPr>
  </w:style>
  <w:style w:type="character" w:customStyle="1" w:styleId="normaltextrun">
    <w:name w:val="normaltextrun"/>
    <w:basedOn w:val="a2"/>
    <w:qFormat/>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a2"/>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cf01">
    <w:name w:val="cf01"/>
    <w:basedOn w:val="a2"/>
    <w:qFormat/>
    <w:rPr>
      <w:rFonts w:ascii="Segoe UI" w:hAnsi="Segoe UI" w:cs="Segoe UI" w:hint="default"/>
      <w:sz w:val="18"/>
      <w:szCs w:val="18"/>
    </w:rPr>
  </w:style>
  <w:style w:type="character" w:customStyle="1" w:styleId="cf11">
    <w:name w:val="cf11"/>
    <w:basedOn w:val="a2"/>
    <w:qFormat/>
    <w:rPr>
      <w:rFonts w:ascii="Segoe UI" w:hAnsi="Segoe UI" w:cs="Segoe UI" w:hint="default"/>
      <w:i/>
      <w:iCs/>
      <w:sz w:val="18"/>
      <w:szCs w:val="18"/>
    </w:rPr>
  </w:style>
  <w:style w:type="character" w:customStyle="1" w:styleId="HTML0">
    <w:name w:val="HTML 地址 字符"/>
    <w:basedOn w:val="a2"/>
    <w:link w:val="HTML"/>
    <w:qFormat/>
    <w:rPr>
      <w:rFonts w:eastAsia="Times New Roman"/>
      <w:i/>
      <w:iCs/>
      <w:lang w:val="en-GB"/>
    </w:rPr>
  </w:style>
  <w:style w:type="character" w:customStyle="1" w:styleId="HTML2">
    <w:name w:val="HTML 预设格式 字符"/>
    <w:basedOn w:val="a2"/>
    <w:link w:val="HTML1"/>
    <w:qFormat/>
    <w:rPr>
      <w:rFonts w:ascii="Consolas" w:eastAsia="Times New Roman" w:hAnsi="Consolas"/>
      <w:lang w:val="en-GB"/>
    </w:rPr>
  </w:style>
  <w:style w:type="character" w:customStyle="1" w:styleId="aff5">
    <w:name w:val="尾注文本 字符"/>
    <w:basedOn w:val="a2"/>
    <w:link w:val="aff4"/>
    <w:qFormat/>
    <w:rPr>
      <w:rFonts w:eastAsia="Times New Roman"/>
      <w:lang w:val="en-GB"/>
    </w:rPr>
  </w:style>
  <w:style w:type="character" w:customStyle="1" w:styleId="a6">
    <w:name w:val="宏文本 字符"/>
    <w:basedOn w:val="a2"/>
    <w:link w:val="a5"/>
    <w:qFormat/>
    <w:rPr>
      <w:rFonts w:ascii="Consolas" w:eastAsia="Times New Roman" w:hAnsi="Consolas"/>
      <w:lang w:val="en-GB"/>
    </w:rPr>
  </w:style>
  <w:style w:type="character" w:customStyle="1" w:styleId="af9">
    <w:name w:val="结束语 字符"/>
    <w:basedOn w:val="a2"/>
    <w:link w:val="af8"/>
    <w:qFormat/>
    <w:rPr>
      <w:rFonts w:eastAsia="Times New Roman"/>
      <w:lang w:val="en-GB"/>
    </w:rPr>
  </w:style>
  <w:style w:type="character" w:customStyle="1" w:styleId="affe">
    <w:name w:val="签名 字符"/>
    <w:basedOn w:val="a2"/>
    <w:link w:val="affd"/>
    <w:qFormat/>
    <w:rPr>
      <w:rFonts w:eastAsia="Times New Roman"/>
      <w:lang w:val="en-GB"/>
    </w:rPr>
  </w:style>
  <w:style w:type="character" w:customStyle="1" w:styleId="afd">
    <w:name w:val="正文文本缩进 字符"/>
    <w:basedOn w:val="a2"/>
    <w:link w:val="afc"/>
    <w:qFormat/>
    <w:rPr>
      <w:rFonts w:eastAsia="Times New Roman"/>
      <w:lang w:val="en-GB"/>
    </w:rPr>
  </w:style>
  <w:style w:type="character" w:customStyle="1" w:styleId="afff6">
    <w:name w:val="信息标题 字符"/>
    <w:basedOn w:val="a2"/>
    <w:link w:val="afff5"/>
    <w:qFormat/>
    <w:rPr>
      <w:rFonts w:asciiTheme="majorHAnsi" w:eastAsiaTheme="majorEastAsia" w:hAnsiTheme="majorHAnsi" w:cstheme="majorBidi"/>
      <w:sz w:val="24"/>
      <w:szCs w:val="24"/>
      <w:shd w:val="pct20" w:color="auto" w:fill="auto"/>
      <w:lang w:val="en-GB"/>
    </w:rPr>
  </w:style>
  <w:style w:type="character" w:customStyle="1" w:styleId="afff1">
    <w:name w:val="副标题 字符"/>
    <w:basedOn w:val="a2"/>
    <w:link w:val="afff0"/>
    <w:qFormat/>
    <w:rPr>
      <w:rFonts w:asciiTheme="minorHAnsi" w:eastAsiaTheme="minorEastAsia" w:hAnsiTheme="minorHAnsi" w:cstheme="minorBidi"/>
      <w:color w:val="595959" w:themeColor="text1" w:themeTint="A6"/>
      <w:spacing w:val="15"/>
      <w:sz w:val="22"/>
      <w:szCs w:val="22"/>
      <w:lang w:val="en-GB"/>
    </w:rPr>
  </w:style>
  <w:style w:type="character" w:customStyle="1" w:styleId="af7">
    <w:name w:val="称呼 字符"/>
    <w:basedOn w:val="a2"/>
    <w:link w:val="af6"/>
    <w:qFormat/>
    <w:rPr>
      <w:rFonts w:eastAsia="Times New Roman"/>
      <w:lang w:val="en-GB"/>
    </w:rPr>
  </w:style>
  <w:style w:type="character" w:customStyle="1" w:styleId="aff3">
    <w:name w:val="日期 字符"/>
    <w:basedOn w:val="a2"/>
    <w:link w:val="aff2"/>
    <w:qFormat/>
    <w:rPr>
      <w:rFonts w:eastAsia="Times New Roman"/>
      <w:lang w:val="en-GB"/>
    </w:rPr>
  </w:style>
  <w:style w:type="character" w:customStyle="1" w:styleId="afffd">
    <w:name w:val="正文文本首行缩进 字符"/>
    <w:basedOn w:val="afb"/>
    <w:link w:val="afffc"/>
    <w:qFormat/>
    <w:rPr>
      <w:rFonts w:ascii="Arial" w:eastAsia="Times New Roman" w:hAnsi="Arial"/>
      <w:lang w:val="en-GB" w:eastAsia="zh-CN"/>
    </w:rPr>
  </w:style>
  <w:style w:type="character" w:customStyle="1" w:styleId="2c">
    <w:name w:val="正文文本首行缩进 2 字符"/>
    <w:basedOn w:val="afd"/>
    <w:link w:val="2b"/>
    <w:qFormat/>
    <w:rPr>
      <w:rFonts w:eastAsia="Times New Roman"/>
      <w:lang w:val="en-GB"/>
    </w:rPr>
  </w:style>
  <w:style w:type="character" w:customStyle="1" w:styleId="aa">
    <w:name w:val="注释标题 字符"/>
    <w:basedOn w:val="a2"/>
    <w:link w:val="a9"/>
    <w:qFormat/>
    <w:rPr>
      <w:rFonts w:eastAsia="Times New Roman"/>
      <w:lang w:val="en-GB"/>
    </w:rPr>
  </w:style>
  <w:style w:type="character" w:customStyle="1" w:styleId="26">
    <w:name w:val="正文文本缩进 2 字符"/>
    <w:basedOn w:val="a2"/>
    <w:link w:val="25"/>
    <w:qFormat/>
    <w:rPr>
      <w:rFonts w:eastAsia="Times New Roman"/>
      <w:lang w:val="en-GB"/>
    </w:rPr>
  </w:style>
  <w:style w:type="character" w:customStyle="1" w:styleId="38">
    <w:name w:val="正文文本缩进 3 字符"/>
    <w:basedOn w:val="a2"/>
    <w:link w:val="37"/>
    <w:qFormat/>
    <w:rPr>
      <w:rFonts w:eastAsia="Times New Roman"/>
      <w:sz w:val="16"/>
      <w:szCs w:val="16"/>
      <w:lang w:val="en-GB"/>
    </w:rPr>
  </w:style>
  <w:style w:type="character" w:customStyle="1" w:styleId="ac">
    <w:name w:val="电子邮件签名 字符"/>
    <w:basedOn w:val="a2"/>
    <w:link w:val="ab"/>
    <w:qFormat/>
    <w:rPr>
      <w:rFonts w:eastAsia="Times New Roman"/>
      <w:lang w:val="en-GB"/>
    </w:rPr>
  </w:style>
  <w:style w:type="paragraph" w:styleId="affffa">
    <w:name w:val="No Spacing"/>
    <w:uiPriority w:val="1"/>
    <w:qFormat/>
    <w:pPr>
      <w:overflowPunct w:val="0"/>
      <w:autoSpaceDE w:val="0"/>
      <w:autoSpaceDN w:val="0"/>
      <w:adjustRightInd w:val="0"/>
    </w:pPr>
    <w:rPr>
      <w:rFonts w:eastAsia="Times New Roman"/>
      <w:lang w:val="en-GB"/>
    </w:rPr>
  </w:style>
  <w:style w:type="paragraph" w:styleId="affffb">
    <w:name w:val="Quote"/>
    <w:basedOn w:val="a1"/>
    <w:next w:val="a1"/>
    <w:link w:val="affffc"/>
    <w:uiPriority w:val="29"/>
    <w:qFormat/>
    <w:pPr>
      <w:widowControl/>
      <w:overflowPunct w:val="0"/>
      <w:autoSpaceDE w:val="0"/>
      <w:autoSpaceDN w:val="0"/>
      <w:adjustRightInd w:val="0"/>
      <w:spacing w:before="200"/>
      <w:ind w:left="864" w:right="864"/>
      <w:jc w:val="center"/>
    </w:pPr>
    <w:rPr>
      <w:rFonts w:ascii="Times New Roman" w:eastAsia="Times New Roman" w:hAnsi="Times New Roman" w:cs="Times New Roman"/>
      <w:i/>
      <w:iCs/>
      <w:color w:val="404040" w:themeColor="text1" w:themeTint="BF"/>
      <w:kern w:val="0"/>
      <w:sz w:val="20"/>
      <w:szCs w:val="20"/>
      <w:lang w:val="en-GB"/>
    </w:rPr>
  </w:style>
  <w:style w:type="character" w:customStyle="1" w:styleId="affffc">
    <w:name w:val="引用 字符"/>
    <w:basedOn w:val="a2"/>
    <w:link w:val="affffb"/>
    <w:uiPriority w:val="29"/>
    <w:qFormat/>
    <w:rPr>
      <w:rFonts w:eastAsia="Times New Roman"/>
      <w:i/>
      <w:iCs/>
      <w:color w:val="404040" w:themeColor="text1" w:themeTint="BF"/>
      <w:lang w:val="en-GB"/>
    </w:rPr>
  </w:style>
  <w:style w:type="paragraph" w:styleId="affffd">
    <w:name w:val="Intense Quote"/>
    <w:basedOn w:val="a1"/>
    <w:next w:val="a1"/>
    <w:link w:val="affffe"/>
    <w:uiPriority w:val="30"/>
    <w:qFormat/>
    <w:pPr>
      <w:widowControl/>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ascii="Times New Roman" w:eastAsia="Times New Roman" w:hAnsi="Times New Roman" w:cs="Times New Roman"/>
      <w:i/>
      <w:iCs/>
      <w:color w:val="4472C4" w:themeColor="accent1"/>
      <w:kern w:val="0"/>
      <w:sz w:val="20"/>
      <w:szCs w:val="20"/>
      <w:lang w:val="en-GB"/>
    </w:rPr>
  </w:style>
  <w:style w:type="character" w:customStyle="1" w:styleId="affffe">
    <w:name w:val="明显引用 字符"/>
    <w:basedOn w:val="a2"/>
    <w:link w:val="affffd"/>
    <w:uiPriority w:val="30"/>
    <w:qFormat/>
    <w:rPr>
      <w:rFonts w:eastAsia="Times New Roman"/>
      <w:i/>
      <w:iCs/>
      <w:color w:val="4472C4" w:themeColor="accent1"/>
      <w:lang w:val="en-GB"/>
    </w:rPr>
  </w:style>
  <w:style w:type="paragraph" w:customStyle="1" w:styleId="18">
    <w:name w:val="书目1"/>
    <w:basedOn w:val="a1"/>
    <w:next w:val="a1"/>
    <w:uiPriority w:val="37"/>
    <w:semiHidden/>
    <w:unhideWhenUsed/>
    <w:qFormat/>
    <w:pPr>
      <w:widowControl/>
      <w:overflowPunct w:val="0"/>
      <w:autoSpaceDE w:val="0"/>
      <w:autoSpaceDN w:val="0"/>
      <w:adjustRightInd w:val="0"/>
      <w:spacing w:after="180"/>
    </w:pPr>
    <w:rPr>
      <w:rFonts w:ascii="Times New Roman" w:eastAsia="Times New Roman" w:hAnsi="Times New Roman" w:cs="Times New Roman"/>
      <w:kern w:val="0"/>
      <w:sz w:val="20"/>
      <w:szCs w:val="20"/>
      <w:lang w:val="en-GB"/>
    </w:rPr>
  </w:style>
  <w:style w:type="paragraph" w:customStyle="1" w:styleId="TOC10">
    <w:name w:val="TOC 标题1"/>
    <w:basedOn w:val="1"/>
    <w:next w:val="a1"/>
    <w:uiPriority w:val="39"/>
    <w:semiHidden/>
    <w:unhideWhenUsed/>
    <w:qFormat/>
    <w:pPr>
      <w:numPr>
        <w:numId w:val="0"/>
      </w:numPr>
      <w:pBdr>
        <w:top w:val="none" w:sz="0" w:space="0" w:color="auto"/>
      </w:pBdr>
      <w:spacing w:after="0"/>
      <w:textAlignment w:val="auto"/>
      <w:outlineLvl w:val="9"/>
    </w:pPr>
    <w:rPr>
      <w:rFonts w:asciiTheme="majorHAnsi" w:eastAsiaTheme="majorEastAsia" w:hAnsiTheme="majorHAnsi" w:cstheme="majorBidi"/>
      <w:color w:val="2F5496" w:themeColor="accent1" w:themeShade="BF"/>
      <w:sz w:val="32"/>
      <w:szCs w:val="32"/>
      <w:lang w:eastAsia="zh-CN"/>
    </w:rPr>
  </w:style>
  <w:style w:type="paragraph" w:customStyle="1" w:styleId="130">
    <w:name w:val="修订13"/>
    <w:hidden/>
    <w:uiPriority w:val="99"/>
    <w:unhideWhenUsed/>
    <w:qFormat/>
    <w:rPr>
      <w:rFonts w:asciiTheme="minorHAnsi" w:eastAsiaTheme="minorEastAsia" w:hAnsiTheme="minorHAnsi" w:cstheme="minorBidi"/>
      <w:kern w:val="2"/>
      <w:sz w:val="2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5E73D4AF-356F-4584-82ED-ED195AD3E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3210</Words>
  <Characters>21315</Characters>
  <DocSecurity>0</DocSecurity>
  <Lines>426</Lines>
  <Paragraphs>302</Paragraphs>
  <ScaleCrop>false</ScaleCrop>
  <LinksUpToDate>false</LinksUpToDate>
  <CharactersWithSpaces>24223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2008-01-31T07:09:00Z</cp:lastPrinted>
  <dcterms:created xsi:type="dcterms:W3CDTF">2025-08-12T10:14:00Z</dcterms:created>
  <dcterms:modified xsi:type="dcterms:W3CDTF">2025-08-15T02:26:00Z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2052-12.1.0.21915</vt:lpwstr>
  </property>
  <property fmtid="{D5CDD505-2E9C-101B-9397-08002B2CF9AE}" pid="5" name="ICV">
    <vt:lpwstr>3C99E977D0A44BE2B41148DEC995FF8D</vt:lpwstr>
  </property>
  <property fmtid="{D5CDD505-2E9C-101B-9397-08002B2CF9AE}" pid="6" name="KSOTemplateDocerSaveRecord">
    <vt:lpwstr>eyJoZGlkIjoiYWFmNThhZDE1N2NjNDdhNWJjYjI5YzMxOTdmN2VmMDciLCJ1c2VySWQiOiIxNDczMjcyOTkxIn0=</vt:lpwstr>
  </property>
</Properties>
</file>